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F59" w:rsidRPr="0094174A" w:rsidRDefault="004F1FBD" w:rsidP="0094174A">
      <w:pPr>
        <w:jc w:val="center"/>
        <w:rPr>
          <w:rFonts w:ascii="Arial" w:hAnsi="Arial" w:cs="Arial"/>
          <w:b/>
          <w:sz w:val="32"/>
          <w:szCs w:val="32"/>
        </w:rPr>
      </w:pPr>
      <w:r>
        <w:rPr>
          <w:rFonts w:ascii="Arial" w:hAnsi="Arial" w:cs="Arial"/>
          <w:b/>
          <w:sz w:val="32"/>
          <w:szCs w:val="32"/>
        </w:rPr>
        <w:t>Errata</w:t>
      </w:r>
    </w:p>
    <w:p w:rsidR="00173F59" w:rsidRDefault="00173F59" w:rsidP="00173F59">
      <w:pPr>
        <w:rPr>
          <w:rFonts w:ascii="Times New Roman" w:hAnsi="Times New Roman"/>
        </w:rPr>
      </w:pPr>
    </w:p>
    <w:p w:rsidR="0094174A" w:rsidRPr="007C0232" w:rsidRDefault="0094174A" w:rsidP="00173F59">
      <w:pPr>
        <w:rPr>
          <w:rFonts w:ascii="Times New Roman" w:hAnsi="Times New Roman"/>
        </w:rPr>
      </w:pPr>
    </w:p>
    <w:p w:rsidR="00173F59" w:rsidRPr="007C0232" w:rsidRDefault="00173F59" w:rsidP="00173F59">
      <w:pPr>
        <w:rPr>
          <w:rFonts w:ascii="Times New Roman" w:hAnsi="Times New Roman"/>
          <w:b/>
        </w:rPr>
      </w:pPr>
      <w:r w:rsidRPr="007C0232">
        <w:rPr>
          <w:rFonts w:ascii="Times New Roman" w:hAnsi="Times New Roman"/>
        </w:rPr>
        <w:t xml:space="preserve">At Dearborn™ Real Estate Education, we are proud of our reputation for providing the most complete, current, and accurate information in all our products. We are committed to ensuring the kind of quality you rely on. Please note the following changes, which will be reflected in the next printing of </w:t>
      </w:r>
      <w:r w:rsidR="006B5A5A">
        <w:rPr>
          <w:rFonts w:ascii="Times New Roman" w:hAnsi="Times New Roman"/>
          <w:i/>
        </w:rPr>
        <w:t>California Real Estate Principles 11</w:t>
      </w:r>
      <w:r w:rsidR="006B5A5A" w:rsidRPr="006B5A5A">
        <w:rPr>
          <w:rFonts w:ascii="Times New Roman" w:hAnsi="Times New Roman"/>
          <w:i/>
          <w:vertAlign w:val="superscript"/>
        </w:rPr>
        <w:t>th</w:t>
      </w:r>
      <w:r w:rsidR="006B5A5A">
        <w:rPr>
          <w:rFonts w:ascii="Times New Roman" w:hAnsi="Times New Roman"/>
          <w:i/>
        </w:rPr>
        <w:t xml:space="preserve"> Edition.</w:t>
      </w:r>
      <w:r w:rsidRPr="007C0232">
        <w:rPr>
          <w:rFonts w:ascii="Times New Roman" w:hAnsi="Times New Roman"/>
        </w:rPr>
        <w:t xml:space="preserve"> </w:t>
      </w:r>
    </w:p>
    <w:p w:rsidR="00173F59" w:rsidRDefault="00173F59" w:rsidP="00173F59">
      <w:pPr>
        <w:tabs>
          <w:tab w:val="left" w:pos="1800"/>
        </w:tabs>
        <w:autoSpaceDE w:val="0"/>
        <w:autoSpaceDN w:val="0"/>
        <w:adjustRightInd w:val="0"/>
        <w:rPr>
          <w:rFonts w:ascii="Times New Roman" w:hAnsi="Times New Roman"/>
          <w:b/>
        </w:rPr>
      </w:pPr>
    </w:p>
    <w:p w:rsidR="00D00B2E" w:rsidRDefault="00D00B2E" w:rsidP="00173F59">
      <w:pPr>
        <w:tabs>
          <w:tab w:val="left" w:pos="1800"/>
        </w:tabs>
        <w:autoSpaceDE w:val="0"/>
        <w:autoSpaceDN w:val="0"/>
        <w:adjustRightInd w:val="0"/>
        <w:rPr>
          <w:rFonts w:ascii="Times New Roman" w:hAnsi="Times New Roman"/>
        </w:rPr>
      </w:pPr>
      <w:r>
        <w:rPr>
          <w:rFonts w:ascii="Times New Roman" w:hAnsi="Times New Roman"/>
        </w:rPr>
        <w:t>To use this document, you will need to know which revision of the book you have. The revision is indicated on the copyright page, which is on the second page of the book.</w:t>
      </w:r>
    </w:p>
    <w:p w:rsidR="00D00B2E" w:rsidRDefault="00D00B2E" w:rsidP="00173F59">
      <w:pPr>
        <w:tabs>
          <w:tab w:val="left" w:pos="1800"/>
        </w:tabs>
        <w:autoSpaceDE w:val="0"/>
        <w:autoSpaceDN w:val="0"/>
        <w:adjustRightInd w:val="0"/>
        <w:rPr>
          <w:rFonts w:ascii="Times New Roman" w:hAnsi="Times New Roman"/>
        </w:rPr>
      </w:pPr>
    </w:p>
    <w:p w:rsidR="00D00B2E" w:rsidRPr="00D00B2E" w:rsidRDefault="00D00B2E" w:rsidP="00173F59">
      <w:pPr>
        <w:tabs>
          <w:tab w:val="left" w:pos="1800"/>
        </w:tabs>
        <w:autoSpaceDE w:val="0"/>
        <w:autoSpaceDN w:val="0"/>
        <w:adjustRightInd w:val="0"/>
        <w:rPr>
          <w:rFonts w:ascii="Times New Roman" w:hAnsi="Times New Roman"/>
        </w:rPr>
      </w:pPr>
      <w:r>
        <w:rPr>
          <w:noProof/>
        </w:rPr>
        <w:drawing>
          <wp:inline distT="0" distB="0" distL="0" distR="0" wp14:anchorId="73C6CFC0" wp14:editId="66B9D081">
            <wp:extent cx="5943600" cy="2390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390140"/>
                    </a:xfrm>
                    <a:prstGeom prst="rect">
                      <a:avLst/>
                    </a:prstGeom>
                  </pic:spPr>
                </pic:pic>
              </a:graphicData>
            </a:graphic>
          </wp:inline>
        </w:drawing>
      </w:r>
    </w:p>
    <w:p w:rsidR="00B261C9" w:rsidRDefault="00B261C9" w:rsidP="00173F59">
      <w:pPr>
        <w:tabs>
          <w:tab w:val="left" w:pos="1800"/>
        </w:tabs>
        <w:autoSpaceDE w:val="0"/>
        <w:autoSpaceDN w:val="0"/>
        <w:adjustRightInd w:val="0"/>
        <w:rPr>
          <w:rFonts w:ascii="Times New Roman" w:hAnsi="Times New Roman"/>
          <w:b/>
        </w:rPr>
      </w:pPr>
    </w:p>
    <w:p w:rsidR="00B635C1" w:rsidRPr="00B635C1" w:rsidRDefault="00B635C1" w:rsidP="00173F59">
      <w:pPr>
        <w:tabs>
          <w:tab w:val="left" w:pos="1800"/>
        </w:tabs>
        <w:autoSpaceDE w:val="0"/>
        <w:autoSpaceDN w:val="0"/>
        <w:adjustRightInd w:val="0"/>
        <w:rPr>
          <w:rFonts w:ascii="Times New Roman" w:hAnsi="Times New Roman"/>
          <w:i/>
        </w:rPr>
      </w:pPr>
      <w:r w:rsidRPr="00B635C1">
        <w:rPr>
          <w:rFonts w:ascii="Times New Roman" w:hAnsi="Times New Roman"/>
          <w:i/>
        </w:rPr>
        <w:t>First Revision</w:t>
      </w:r>
    </w:p>
    <w:tbl>
      <w:tblPr>
        <w:tblW w:w="52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2"/>
        <w:gridCol w:w="3339"/>
        <w:gridCol w:w="3383"/>
      </w:tblGrid>
      <w:tr w:rsidR="00B261C9" w:rsidRPr="00B261C9" w:rsidTr="0071553F">
        <w:trPr>
          <w:trHeight w:val="144"/>
          <w:jc w:val="center"/>
        </w:trPr>
        <w:tc>
          <w:tcPr>
            <w:tcW w:w="3105" w:type="dxa"/>
            <w:shd w:val="clear" w:color="auto" w:fill="CCFFCC"/>
          </w:tcPr>
          <w:p w:rsidR="00B261C9" w:rsidRPr="00B261C9" w:rsidRDefault="00B261C9" w:rsidP="00B261C9">
            <w:pPr>
              <w:tabs>
                <w:tab w:val="left" w:pos="1800"/>
              </w:tabs>
              <w:autoSpaceDE w:val="0"/>
              <w:autoSpaceDN w:val="0"/>
              <w:adjustRightInd w:val="0"/>
              <w:jc w:val="center"/>
              <w:rPr>
                <w:rFonts w:ascii="Times New Roman" w:hAnsi="Times New Roman"/>
                <w:b/>
              </w:rPr>
            </w:pPr>
            <w:r w:rsidRPr="00B261C9">
              <w:rPr>
                <w:rFonts w:ascii="Times New Roman" w:hAnsi="Times New Roman"/>
                <w:b/>
              </w:rPr>
              <w:t>Page/Location</w:t>
            </w:r>
          </w:p>
        </w:tc>
        <w:tc>
          <w:tcPr>
            <w:tcW w:w="3420" w:type="dxa"/>
            <w:shd w:val="clear" w:color="auto" w:fill="CCFFCC"/>
          </w:tcPr>
          <w:p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Reads Now</w:t>
            </w:r>
          </w:p>
        </w:tc>
        <w:tc>
          <w:tcPr>
            <w:tcW w:w="3465" w:type="dxa"/>
            <w:shd w:val="clear" w:color="auto" w:fill="CCFFCC"/>
          </w:tcPr>
          <w:p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Should Be</w:t>
            </w:r>
          </w:p>
        </w:tc>
      </w:tr>
      <w:tr w:rsidR="00290CA0" w:rsidRPr="00B261C9" w:rsidTr="0071553F">
        <w:trPr>
          <w:trHeight w:val="150"/>
          <w:jc w:val="center"/>
        </w:trPr>
        <w:tc>
          <w:tcPr>
            <w:tcW w:w="3105" w:type="dxa"/>
          </w:tcPr>
          <w:p w:rsidR="00290CA0" w:rsidRDefault="00290CA0" w:rsidP="006B5A5A">
            <w:pPr>
              <w:tabs>
                <w:tab w:val="left" w:pos="1800"/>
              </w:tabs>
              <w:autoSpaceDE w:val="0"/>
              <w:autoSpaceDN w:val="0"/>
              <w:adjustRightInd w:val="0"/>
              <w:rPr>
                <w:rFonts w:ascii="Times New Roman" w:hAnsi="Times New Roman"/>
              </w:rPr>
            </w:pPr>
            <w:r>
              <w:rPr>
                <w:rFonts w:ascii="Times New Roman" w:hAnsi="Times New Roman"/>
              </w:rPr>
              <w:t>235, Figure 8.6 (First deed of trust)</w:t>
            </w:r>
          </w:p>
        </w:tc>
        <w:tc>
          <w:tcPr>
            <w:tcW w:w="3420" w:type="dxa"/>
          </w:tcPr>
          <w:p w:rsidR="00290CA0" w:rsidRPr="00290CA0" w:rsidRDefault="00290CA0" w:rsidP="006B5A5A">
            <w:pPr>
              <w:rPr>
                <w:rFonts w:ascii="Times New Roman" w:hAnsi="Times New Roman"/>
                <w:b/>
              </w:rPr>
            </w:pPr>
            <w:r w:rsidRPr="00290CA0">
              <w:rPr>
                <w:rFonts w:ascii="Times New Roman" w:hAnsi="Times New Roman"/>
                <w:b/>
              </w:rPr>
              <w:t>Loan Amount</w:t>
            </w:r>
          </w:p>
          <w:p w:rsidR="00290CA0" w:rsidRDefault="00290CA0" w:rsidP="006B5A5A">
            <w:pPr>
              <w:rPr>
                <w:rFonts w:ascii="Times New Roman" w:hAnsi="Times New Roman"/>
              </w:rPr>
            </w:pPr>
            <w:r>
              <w:rPr>
                <w:rFonts w:ascii="Times New Roman" w:hAnsi="Times New Roman"/>
              </w:rPr>
              <w:t>Less than $30,000</w:t>
            </w:r>
          </w:p>
          <w:p w:rsidR="00290CA0" w:rsidRDefault="00290CA0" w:rsidP="006B5A5A">
            <w:pPr>
              <w:rPr>
                <w:rFonts w:ascii="Times New Roman" w:hAnsi="Times New Roman"/>
              </w:rPr>
            </w:pPr>
            <w:r>
              <w:rPr>
                <w:rFonts w:ascii="Times New Roman" w:hAnsi="Times New Roman"/>
              </w:rPr>
              <w:t>$30,000 or more</w:t>
            </w:r>
          </w:p>
        </w:tc>
        <w:tc>
          <w:tcPr>
            <w:tcW w:w="3465" w:type="dxa"/>
          </w:tcPr>
          <w:p w:rsidR="00290CA0" w:rsidRPr="00290CA0" w:rsidRDefault="00290CA0" w:rsidP="00290CA0">
            <w:pPr>
              <w:rPr>
                <w:rFonts w:ascii="Times New Roman" w:hAnsi="Times New Roman"/>
                <w:b/>
              </w:rPr>
            </w:pPr>
            <w:r w:rsidRPr="00290CA0">
              <w:rPr>
                <w:rFonts w:ascii="Times New Roman" w:hAnsi="Times New Roman"/>
                <w:b/>
              </w:rPr>
              <w:t>Loan Amount</w:t>
            </w:r>
          </w:p>
          <w:p w:rsidR="00290CA0" w:rsidRDefault="00290CA0" w:rsidP="00290CA0">
            <w:pPr>
              <w:rPr>
                <w:rFonts w:ascii="Times New Roman" w:hAnsi="Times New Roman"/>
              </w:rPr>
            </w:pPr>
            <w:r>
              <w:rPr>
                <w:rFonts w:ascii="Times New Roman" w:hAnsi="Times New Roman"/>
              </w:rPr>
              <w:t>Less than $30,000</w:t>
            </w:r>
          </w:p>
          <w:p w:rsidR="00290CA0" w:rsidRPr="00290CA0" w:rsidRDefault="00290CA0" w:rsidP="006B5A5A">
            <w:pPr>
              <w:rPr>
                <w:rFonts w:ascii="Times New Roman" w:hAnsi="Times New Roman"/>
                <w:b/>
              </w:rPr>
            </w:pPr>
          </w:p>
        </w:tc>
      </w:tr>
      <w:tr w:rsidR="00290CA0" w:rsidRPr="00B261C9" w:rsidTr="0071553F">
        <w:trPr>
          <w:trHeight w:val="692"/>
          <w:jc w:val="center"/>
        </w:trPr>
        <w:tc>
          <w:tcPr>
            <w:tcW w:w="3105" w:type="dxa"/>
          </w:tcPr>
          <w:p w:rsidR="00290CA0" w:rsidRDefault="00290CA0" w:rsidP="006B5A5A">
            <w:pPr>
              <w:tabs>
                <w:tab w:val="left" w:pos="1800"/>
              </w:tabs>
              <w:autoSpaceDE w:val="0"/>
              <w:autoSpaceDN w:val="0"/>
              <w:adjustRightInd w:val="0"/>
              <w:rPr>
                <w:rFonts w:ascii="Times New Roman" w:hAnsi="Times New Roman"/>
              </w:rPr>
            </w:pPr>
            <w:r>
              <w:rPr>
                <w:rFonts w:ascii="Times New Roman" w:hAnsi="Times New Roman"/>
              </w:rPr>
              <w:t>235, Figure 8.6 (Second deed of trust)</w:t>
            </w:r>
          </w:p>
        </w:tc>
        <w:tc>
          <w:tcPr>
            <w:tcW w:w="3420" w:type="dxa"/>
          </w:tcPr>
          <w:p w:rsidR="00290CA0" w:rsidRPr="00290CA0" w:rsidRDefault="00290CA0" w:rsidP="00290CA0">
            <w:pPr>
              <w:rPr>
                <w:rFonts w:ascii="Times New Roman" w:hAnsi="Times New Roman"/>
                <w:b/>
              </w:rPr>
            </w:pPr>
            <w:r w:rsidRPr="00290CA0">
              <w:rPr>
                <w:rFonts w:ascii="Times New Roman" w:hAnsi="Times New Roman"/>
                <w:b/>
              </w:rPr>
              <w:t>Loan Amount</w:t>
            </w:r>
          </w:p>
          <w:p w:rsidR="00290CA0" w:rsidRDefault="00290CA0" w:rsidP="00290CA0">
            <w:pPr>
              <w:rPr>
                <w:rFonts w:ascii="Times New Roman" w:hAnsi="Times New Roman"/>
              </w:rPr>
            </w:pPr>
            <w:r>
              <w:rPr>
                <w:rFonts w:ascii="Times New Roman" w:hAnsi="Times New Roman"/>
              </w:rPr>
              <w:t>Less than $20,000</w:t>
            </w:r>
          </w:p>
          <w:p w:rsidR="00290CA0" w:rsidRDefault="00290CA0" w:rsidP="00290CA0">
            <w:pPr>
              <w:rPr>
                <w:rFonts w:ascii="Times New Roman" w:hAnsi="Times New Roman"/>
              </w:rPr>
            </w:pPr>
            <w:r>
              <w:rPr>
                <w:rFonts w:ascii="Times New Roman" w:hAnsi="Times New Roman"/>
              </w:rPr>
              <w:t>$20,000 or more</w:t>
            </w:r>
          </w:p>
        </w:tc>
        <w:tc>
          <w:tcPr>
            <w:tcW w:w="3465" w:type="dxa"/>
          </w:tcPr>
          <w:p w:rsidR="00290CA0" w:rsidRPr="00290CA0" w:rsidRDefault="00290CA0" w:rsidP="00290CA0">
            <w:pPr>
              <w:rPr>
                <w:rFonts w:ascii="Times New Roman" w:hAnsi="Times New Roman"/>
                <w:b/>
              </w:rPr>
            </w:pPr>
            <w:r w:rsidRPr="00290CA0">
              <w:rPr>
                <w:rFonts w:ascii="Times New Roman" w:hAnsi="Times New Roman"/>
                <w:b/>
              </w:rPr>
              <w:t>Loan Amount</w:t>
            </w:r>
          </w:p>
          <w:p w:rsidR="00290CA0" w:rsidRDefault="00290CA0" w:rsidP="00290CA0">
            <w:pPr>
              <w:rPr>
                <w:rFonts w:ascii="Times New Roman" w:hAnsi="Times New Roman"/>
              </w:rPr>
            </w:pPr>
            <w:r>
              <w:rPr>
                <w:rFonts w:ascii="Times New Roman" w:hAnsi="Times New Roman"/>
              </w:rPr>
              <w:t>Less than $20,000</w:t>
            </w:r>
          </w:p>
          <w:p w:rsidR="00290CA0" w:rsidRDefault="00290CA0" w:rsidP="006B5A5A">
            <w:pPr>
              <w:rPr>
                <w:rFonts w:ascii="Times New Roman" w:hAnsi="Times New Roman"/>
              </w:rPr>
            </w:pPr>
          </w:p>
        </w:tc>
      </w:tr>
      <w:tr w:rsidR="00290CA0" w:rsidRPr="00B261C9" w:rsidTr="0071553F">
        <w:trPr>
          <w:trHeight w:val="150"/>
          <w:jc w:val="center"/>
        </w:trPr>
        <w:tc>
          <w:tcPr>
            <w:tcW w:w="3105" w:type="dxa"/>
          </w:tcPr>
          <w:p w:rsidR="00290CA0" w:rsidRDefault="00290CA0" w:rsidP="006B5A5A">
            <w:pPr>
              <w:tabs>
                <w:tab w:val="left" w:pos="1800"/>
              </w:tabs>
              <w:autoSpaceDE w:val="0"/>
              <w:autoSpaceDN w:val="0"/>
              <w:adjustRightInd w:val="0"/>
              <w:rPr>
                <w:rFonts w:ascii="Times New Roman" w:hAnsi="Times New Roman"/>
              </w:rPr>
            </w:pPr>
            <w:r>
              <w:rPr>
                <w:rFonts w:ascii="Times New Roman" w:hAnsi="Times New Roman"/>
              </w:rPr>
              <w:t>235, Figure 8.7</w:t>
            </w:r>
          </w:p>
        </w:tc>
        <w:tc>
          <w:tcPr>
            <w:tcW w:w="3420" w:type="dxa"/>
          </w:tcPr>
          <w:p w:rsidR="00290CA0" w:rsidRDefault="00290CA0" w:rsidP="006B5A5A">
            <w:pPr>
              <w:rPr>
                <w:rFonts w:ascii="Times New Roman" w:hAnsi="Times New Roman"/>
              </w:rPr>
            </w:pPr>
          </w:p>
        </w:tc>
        <w:tc>
          <w:tcPr>
            <w:tcW w:w="3465" w:type="dxa"/>
          </w:tcPr>
          <w:p w:rsidR="00290CA0" w:rsidRDefault="00290CA0" w:rsidP="006B5A5A">
            <w:pPr>
              <w:rPr>
                <w:rFonts w:ascii="Times New Roman" w:hAnsi="Times New Roman"/>
              </w:rPr>
            </w:pPr>
            <w:r>
              <w:rPr>
                <w:rFonts w:ascii="Times New Roman" w:hAnsi="Times New Roman"/>
              </w:rPr>
              <w:t xml:space="preserve">DELETED Entire </w:t>
            </w:r>
            <w:r w:rsidRPr="00290CA0">
              <w:rPr>
                <w:rFonts w:ascii="Times New Roman" w:hAnsi="Times New Roman"/>
                <w:b/>
              </w:rPr>
              <w:t>Loan Amount</w:t>
            </w:r>
            <w:r>
              <w:rPr>
                <w:rFonts w:ascii="Times New Roman" w:hAnsi="Times New Roman"/>
              </w:rPr>
              <w:t xml:space="preserve"> column</w:t>
            </w:r>
          </w:p>
        </w:tc>
      </w:tr>
      <w:tr w:rsidR="0071553F" w:rsidRPr="00B261C9" w:rsidTr="0071553F">
        <w:trPr>
          <w:trHeight w:val="150"/>
          <w:jc w:val="center"/>
        </w:trPr>
        <w:tc>
          <w:tcPr>
            <w:tcW w:w="3105" w:type="dxa"/>
          </w:tcPr>
          <w:p w:rsidR="0071553F" w:rsidRDefault="0071553F" w:rsidP="0071553F">
            <w:pPr>
              <w:tabs>
                <w:tab w:val="left" w:pos="1800"/>
              </w:tabs>
              <w:autoSpaceDE w:val="0"/>
              <w:autoSpaceDN w:val="0"/>
              <w:adjustRightInd w:val="0"/>
              <w:rPr>
                <w:rFonts w:ascii="Times New Roman" w:hAnsi="Times New Roman"/>
              </w:rPr>
            </w:pPr>
            <w:r>
              <w:rPr>
                <w:rFonts w:ascii="Times New Roman" w:hAnsi="Times New Roman"/>
              </w:rPr>
              <w:t>235, Figure 8.7 (Maximum Costs and Expenses)</w:t>
            </w:r>
          </w:p>
        </w:tc>
        <w:tc>
          <w:tcPr>
            <w:tcW w:w="3420" w:type="dxa"/>
          </w:tcPr>
          <w:p w:rsidR="0071553F" w:rsidRPr="0071553F" w:rsidRDefault="0071553F" w:rsidP="0071553F">
            <w:pPr>
              <w:rPr>
                <w:rFonts w:ascii="Times New Roman" w:hAnsi="Times New Roman"/>
              </w:rPr>
            </w:pPr>
            <w:r w:rsidRPr="0071553F">
              <w:rPr>
                <w:rFonts w:ascii="Times New Roman" w:hAnsi="Times New Roman"/>
              </w:rPr>
              <w:t>Actual costs or $390, whichever is less</w:t>
            </w:r>
          </w:p>
          <w:p w:rsidR="0071553F" w:rsidRPr="0071553F" w:rsidRDefault="0071553F" w:rsidP="0071553F">
            <w:pPr>
              <w:rPr>
                <w:rFonts w:ascii="Times New Roman" w:hAnsi="Times New Roman"/>
              </w:rPr>
            </w:pPr>
            <w:r w:rsidRPr="0071553F">
              <w:rPr>
                <w:rFonts w:ascii="Times New Roman" w:hAnsi="Times New Roman"/>
              </w:rPr>
              <w:t>Actual costs or 5% of loan amount, whichever is less</w:t>
            </w:r>
          </w:p>
          <w:p w:rsidR="0071553F" w:rsidRPr="0071553F" w:rsidRDefault="0071553F" w:rsidP="0071553F">
            <w:pPr>
              <w:rPr>
                <w:rFonts w:ascii="Times New Roman" w:hAnsi="Times New Roman"/>
              </w:rPr>
            </w:pPr>
            <w:r w:rsidRPr="0071553F">
              <w:rPr>
                <w:rFonts w:ascii="Times New Roman" w:hAnsi="Times New Roman"/>
              </w:rPr>
              <w:t>Actual costs, but not more than $700</w:t>
            </w:r>
          </w:p>
          <w:tbl>
            <w:tblPr>
              <w:tblW w:w="0" w:type="auto"/>
              <w:tblBorders>
                <w:top w:val="nil"/>
                <w:left w:val="nil"/>
                <w:bottom w:val="nil"/>
                <w:right w:val="nil"/>
              </w:tblBorders>
              <w:tblLayout w:type="fixed"/>
              <w:tblLook w:val="0000" w:firstRow="0" w:lastRow="0" w:firstColumn="0" w:lastColumn="0" w:noHBand="0" w:noVBand="0"/>
            </w:tblPr>
            <w:tblGrid>
              <w:gridCol w:w="6177"/>
            </w:tblGrid>
            <w:tr w:rsidR="0071553F" w:rsidRPr="0071553F">
              <w:trPr>
                <w:trHeight w:val="324"/>
              </w:trPr>
              <w:tc>
                <w:tcPr>
                  <w:tcW w:w="6177" w:type="dxa"/>
                </w:tcPr>
                <w:p w:rsidR="0071553F" w:rsidRPr="0071553F" w:rsidRDefault="0071553F" w:rsidP="0071553F">
                  <w:pPr>
                    <w:rPr>
                      <w:rFonts w:ascii="Times New Roman" w:hAnsi="Times New Roman"/>
                      <w:color w:val="221E1F"/>
                    </w:rPr>
                  </w:pPr>
                </w:p>
              </w:tc>
            </w:tr>
          </w:tbl>
          <w:p w:rsidR="0071553F" w:rsidRPr="0071553F" w:rsidRDefault="0071553F" w:rsidP="0071553F">
            <w:pPr>
              <w:rPr>
                <w:rFonts w:ascii="Times New Roman" w:hAnsi="Times New Roman"/>
              </w:rPr>
            </w:pPr>
          </w:p>
        </w:tc>
        <w:tc>
          <w:tcPr>
            <w:tcW w:w="3465" w:type="dxa"/>
          </w:tcPr>
          <w:p w:rsidR="0071553F" w:rsidRPr="0071553F" w:rsidRDefault="0071553F" w:rsidP="0071553F">
            <w:pPr>
              <w:rPr>
                <w:rFonts w:ascii="Times New Roman" w:hAnsi="Times New Roman"/>
              </w:rPr>
            </w:pPr>
            <w:r w:rsidRPr="0071553F">
              <w:rPr>
                <w:rFonts w:ascii="Times New Roman" w:hAnsi="Times New Roman"/>
              </w:rPr>
              <w:t>Actual costs or $390, whichever is more</w:t>
            </w:r>
          </w:p>
          <w:p w:rsidR="0071553F" w:rsidRPr="0071553F" w:rsidRDefault="0071553F" w:rsidP="0071553F">
            <w:pPr>
              <w:rPr>
                <w:rFonts w:ascii="Times New Roman" w:hAnsi="Times New Roman"/>
              </w:rPr>
            </w:pPr>
            <w:r w:rsidRPr="0071553F">
              <w:rPr>
                <w:rFonts w:ascii="Times New Roman" w:hAnsi="Times New Roman"/>
              </w:rPr>
              <w:t>Not to exceed $700 or actual costs, whichever is less</w:t>
            </w:r>
          </w:p>
        </w:tc>
      </w:tr>
      <w:tr w:rsidR="0071553F" w:rsidRPr="00B261C9" w:rsidTr="0071553F">
        <w:trPr>
          <w:trHeight w:val="150"/>
          <w:jc w:val="center"/>
        </w:trPr>
        <w:tc>
          <w:tcPr>
            <w:tcW w:w="3105" w:type="dxa"/>
          </w:tcPr>
          <w:p w:rsidR="0071553F" w:rsidRPr="00AF33C8" w:rsidRDefault="0071553F" w:rsidP="0071553F">
            <w:pPr>
              <w:tabs>
                <w:tab w:val="left" w:pos="1800"/>
              </w:tabs>
              <w:autoSpaceDE w:val="0"/>
              <w:autoSpaceDN w:val="0"/>
              <w:adjustRightInd w:val="0"/>
              <w:rPr>
                <w:rFonts w:ascii="Times New Roman" w:hAnsi="Times New Roman"/>
              </w:rPr>
            </w:pPr>
            <w:r>
              <w:rPr>
                <w:rFonts w:ascii="Times New Roman" w:hAnsi="Times New Roman"/>
              </w:rPr>
              <w:t>319, FOR EXAMPLE</w:t>
            </w:r>
          </w:p>
        </w:tc>
        <w:tc>
          <w:tcPr>
            <w:tcW w:w="3420" w:type="dxa"/>
          </w:tcPr>
          <w:p w:rsidR="0071553F" w:rsidRDefault="0071553F" w:rsidP="0071553F">
            <w:pPr>
              <w:rPr>
                <w:rFonts w:ascii="Times New Roman" w:hAnsi="Times New Roman"/>
              </w:rPr>
            </w:pPr>
            <w:r>
              <w:rPr>
                <w:rFonts w:ascii="Times New Roman" w:hAnsi="Times New Roman"/>
              </w:rPr>
              <w:t xml:space="preserve">Tax                           $9,656.35  </w:t>
            </w:r>
          </w:p>
          <w:p w:rsidR="0071553F" w:rsidRDefault="0071553F" w:rsidP="0071553F">
            <w:pPr>
              <w:rPr>
                <w:rFonts w:ascii="Times New Roman" w:hAnsi="Times New Roman"/>
              </w:rPr>
            </w:pPr>
            <w:r>
              <w:rPr>
                <w:rFonts w:ascii="Times New Roman" w:hAnsi="Times New Roman"/>
              </w:rPr>
              <w:t>Installment                $4,823.17</w:t>
            </w:r>
          </w:p>
          <w:p w:rsidR="0071553F" w:rsidRPr="00AF33C8" w:rsidRDefault="0071553F" w:rsidP="0071553F">
            <w:pPr>
              <w:rPr>
                <w:rFonts w:ascii="Times New Roman" w:hAnsi="Times New Roman"/>
              </w:rPr>
            </w:pPr>
            <w:r>
              <w:rPr>
                <w:rFonts w:ascii="Times New Roman" w:hAnsi="Times New Roman"/>
              </w:rPr>
              <w:t xml:space="preserve">Delinquent payment $5,305.49 </w:t>
            </w:r>
          </w:p>
        </w:tc>
        <w:tc>
          <w:tcPr>
            <w:tcW w:w="3465" w:type="dxa"/>
          </w:tcPr>
          <w:p w:rsidR="0071553F" w:rsidRDefault="0071553F" w:rsidP="0071553F">
            <w:pPr>
              <w:rPr>
                <w:rFonts w:ascii="Times New Roman" w:hAnsi="Times New Roman"/>
              </w:rPr>
            </w:pPr>
            <w:r>
              <w:rPr>
                <w:rFonts w:ascii="Times New Roman" w:hAnsi="Times New Roman"/>
              </w:rPr>
              <w:t xml:space="preserve">Tax                           $9,586.35  </w:t>
            </w:r>
          </w:p>
          <w:p w:rsidR="0071553F" w:rsidRDefault="0071553F" w:rsidP="0071553F">
            <w:pPr>
              <w:rPr>
                <w:rFonts w:ascii="Times New Roman" w:hAnsi="Times New Roman"/>
              </w:rPr>
            </w:pPr>
            <w:r>
              <w:rPr>
                <w:rFonts w:ascii="Times New Roman" w:hAnsi="Times New Roman"/>
              </w:rPr>
              <w:t>Installment                $4,793.18</w:t>
            </w:r>
          </w:p>
          <w:p w:rsidR="0071553F" w:rsidRPr="00AF33C8" w:rsidRDefault="0071553F" w:rsidP="0071553F">
            <w:pPr>
              <w:rPr>
                <w:rFonts w:ascii="Times New Roman" w:hAnsi="Times New Roman"/>
              </w:rPr>
            </w:pPr>
            <w:r>
              <w:rPr>
                <w:rFonts w:ascii="Times New Roman" w:hAnsi="Times New Roman"/>
              </w:rPr>
              <w:t xml:space="preserve">Delinquent payment $5,272.50 </w:t>
            </w:r>
          </w:p>
        </w:tc>
      </w:tr>
    </w:tbl>
    <w:p w:rsidR="00173F59" w:rsidRDefault="00173F59" w:rsidP="00B261C9">
      <w:pPr>
        <w:tabs>
          <w:tab w:val="left" w:pos="1800"/>
        </w:tabs>
        <w:autoSpaceDE w:val="0"/>
        <w:autoSpaceDN w:val="0"/>
        <w:adjustRightInd w:val="0"/>
        <w:rPr>
          <w:rFonts w:ascii="Times New Roman" w:hAnsi="Times New Roman"/>
        </w:rPr>
      </w:pPr>
    </w:p>
    <w:p w:rsidR="00B635C1" w:rsidRDefault="00B635C1" w:rsidP="00B261C9">
      <w:pPr>
        <w:tabs>
          <w:tab w:val="left" w:pos="1800"/>
        </w:tabs>
        <w:autoSpaceDE w:val="0"/>
        <w:autoSpaceDN w:val="0"/>
        <w:adjustRightInd w:val="0"/>
        <w:rPr>
          <w:rFonts w:ascii="Times New Roman" w:hAnsi="Times New Roman"/>
          <w:i/>
        </w:rPr>
      </w:pPr>
      <w:r w:rsidRPr="00B635C1">
        <w:rPr>
          <w:rFonts w:ascii="Times New Roman" w:hAnsi="Times New Roman"/>
          <w:i/>
        </w:rPr>
        <w:t>Second Revision</w:t>
      </w:r>
    </w:p>
    <w:tbl>
      <w:tblPr>
        <w:tblW w:w="52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2"/>
        <w:gridCol w:w="3339"/>
        <w:gridCol w:w="3383"/>
      </w:tblGrid>
      <w:tr w:rsidR="00B635C1" w:rsidRPr="00B261C9" w:rsidTr="006778BC">
        <w:trPr>
          <w:trHeight w:val="144"/>
          <w:jc w:val="center"/>
        </w:trPr>
        <w:tc>
          <w:tcPr>
            <w:tcW w:w="3105" w:type="dxa"/>
            <w:shd w:val="clear" w:color="auto" w:fill="CCFFCC"/>
          </w:tcPr>
          <w:p w:rsidR="00B635C1" w:rsidRPr="00B261C9" w:rsidRDefault="00B635C1" w:rsidP="006778BC">
            <w:pPr>
              <w:tabs>
                <w:tab w:val="left" w:pos="1800"/>
              </w:tabs>
              <w:autoSpaceDE w:val="0"/>
              <w:autoSpaceDN w:val="0"/>
              <w:adjustRightInd w:val="0"/>
              <w:jc w:val="center"/>
              <w:rPr>
                <w:rFonts w:ascii="Times New Roman" w:hAnsi="Times New Roman"/>
                <w:b/>
              </w:rPr>
            </w:pPr>
            <w:r w:rsidRPr="00B261C9">
              <w:rPr>
                <w:rFonts w:ascii="Times New Roman" w:hAnsi="Times New Roman"/>
                <w:b/>
              </w:rPr>
              <w:t>Page/Location</w:t>
            </w:r>
          </w:p>
        </w:tc>
        <w:tc>
          <w:tcPr>
            <w:tcW w:w="3420" w:type="dxa"/>
            <w:shd w:val="clear" w:color="auto" w:fill="CCFFCC"/>
          </w:tcPr>
          <w:p w:rsidR="00B635C1" w:rsidRPr="00B261C9" w:rsidRDefault="00B635C1" w:rsidP="006778BC">
            <w:pPr>
              <w:tabs>
                <w:tab w:val="left" w:pos="1800"/>
              </w:tabs>
              <w:autoSpaceDE w:val="0"/>
              <w:autoSpaceDN w:val="0"/>
              <w:adjustRightInd w:val="0"/>
              <w:jc w:val="center"/>
              <w:rPr>
                <w:rFonts w:ascii="Times New Roman" w:hAnsi="Times New Roman"/>
                <w:b/>
              </w:rPr>
            </w:pPr>
            <w:r>
              <w:rPr>
                <w:rFonts w:ascii="Times New Roman" w:hAnsi="Times New Roman"/>
                <w:b/>
              </w:rPr>
              <w:t>Reads Now</w:t>
            </w:r>
          </w:p>
        </w:tc>
        <w:tc>
          <w:tcPr>
            <w:tcW w:w="3465" w:type="dxa"/>
            <w:shd w:val="clear" w:color="auto" w:fill="CCFFCC"/>
          </w:tcPr>
          <w:p w:rsidR="00B635C1" w:rsidRPr="00B261C9" w:rsidRDefault="00B635C1" w:rsidP="006778BC">
            <w:pPr>
              <w:tabs>
                <w:tab w:val="left" w:pos="1800"/>
              </w:tabs>
              <w:autoSpaceDE w:val="0"/>
              <w:autoSpaceDN w:val="0"/>
              <w:adjustRightInd w:val="0"/>
              <w:jc w:val="center"/>
              <w:rPr>
                <w:rFonts w:ascii="Times New Roman" w:hAnsi="Times New Roman"/>
                <w:b/>
              </w:rPr>
            </w:pPr>
            <w:r>
              <w:rPr>
                <w:rFonts w:ascii="Times New Roman" w:hAnsi="Times New Roman"/>
                <w:b/>
              </w:rPr>
              <w:t>Should Be</w:t>
            </w:r>
          </w:p>
        </w:tc>
      </w:tr>
      <w:tr w:rsidR="00B635C1" w:rsidRPr="00B261C9" w:rsidTr="006778BC">
        <w:trPr>
          <w:trHeight w:val="150"/>
          <w:jc w:val="center"/>
        </w:trPr>
        <w:tc>
          <w:tcPr>
            <w:tcW w:w="3105" w:type="dxa"/>
          </w:tcPr>
          <w:p w:rsidR="00B635C1" w:rsidRDefault="00B635C1" w:rsidP="006778BC">
            <w:pPr>
              <w:tabs>
                <w:tab w:val="left" w:pos="1800"/>
              </w:tabs>
              <w:autoSpaceDE w:val="0"/>
              <w:autoSpaceDN w:val="0"/>
              <w:adjustRightInd w:val="0"/>
              <w:rPr>
                <w:rFonts w:ascii="Times New Roman" w:hAnsi="Times New Roman"/>
              </w:rPr>
            </w:pPr>
            <w:r>
              <w:rPr>
                <w:rFonts w:ascii="Times New Roman" w:hAnsi="Times New Roman"/>
              </w:rPr>
              <w:t>22, License Conduct</w:t>
            </w:r>
          </w:p>
        </w:tc>
        <w:tc>
          <w:tcPr>
            <w:tcW w:w="3420" w:type="dxa"/>
          </w:tcPr>
          <w:p w:rsidR="00B635C1" w:rsidRDefault="00B635C1" w:rsidP="00B635C1">
            <w:pPr>
              <w:rPr>
                <w:rFonts w:ascii="Times New Roman" w:hAnsi="Times New Roman"/>
              </w:rPr>
            </w:pPr>
            <w:r>
              <w:rPr>
                <w:rFonts w:ascii="Goudy Oldstyle Std" w:hAnsi="Goudy Oldstyle Std"/>
                <w:color w:val="211D1E"/>
                <w:sz w:val="22"/>
                <w:szCs w:val="22"/>
              </w:rPr>
              <w:t>w</w:t>
            </w:r>
            <w:r w:rsidRPr="00B635C1">
              <w:rPr>
                <w:rFonts w:ascii="Goudy Oldstyle Std" w:hAnsi="Goudy Oldstyle Std"/>
                <w:color w:val="211D1E"/>
                <w:sz w:val="22"/>
                <w:szCs w:val="22"/>
              </w:rPr>
              <w:t>ww.dre.ca.gov/files/pdf/refbook/ref00.pdf</w:t>
            </w:r>
          </w:p>
        </w:tc>
        <w:tc>
          <w:tcPr>
            <w:tcW w:w="3465" w:type="dxa"/>
          </w:tcPr>
          <w:p w:rsidR="00B635C1" w:rsidRPr="00290CA0" w:rsidRDefault="00B635C1" w:rsidP="006778BC">
            <w:pPr>
              <w:rPr>
                <w:rFonts w:ascii="Times New Roman" w:hAnsi="Times New Roman"/>
                <w:b/>
              </w:rPr>
            </w:pPr>
            <w:r>
              <w:rPr>
                <w:rFonts w:ascii="Segoe UI" w:hAnsi="Segoe UI" w:cs="Segoe UI"/>
                <w:color w:val="000000"/>
                <w:sz w:val="20"/>
                <w:szCs w:val="20"/>
              </w:rPr>
              <w:t>www.dre.ca.gov/publications/ReferenceBook.html</w:t>
            </w:r>
          </w:p>
        </w:tc>
      </w:tr>
      <w:tr w:rsidR="00B635C1" w:rsidRPr="00B261C9" w:rsidTr="006778BC">
        <w:trPr>
          <w:trHeight w:val="692"/>
          <w:jc w:val="center"/>
        </w:trPr>
        <w:tc>
          <w:tcPr>
            <w:tcW w:w="3105" w:type="dxa"/>
          </w:tcPr>
          <w:p w:rsidR="00B635C1" w:rsidRDefault="005B2E16" w:rsidP="006778BC">
            <w:pPr>
              <w:tabs>
                <w:tab w:val="left" w:pos="1800"/>
              </w:tabs>
              <w:autoSpaceDE w:val="0"/>
              <w:autoSpaceDN w:val="0"/>
              <w:adjustRightInd w:val="0"/>
              <w:rPr>
                <w:rFonts w:ascii="Times New Roman" w:hAnsi="Times New Roman"/>
              </w:rPr>
            </w:pPr>
            <w:r>
              <w:rPr>
                <w:rFonts w:ascii="Times New Roman" w:hAnsi="Times New Roman"/>
              </w:rPr>
              <w:t>316</w:t>
            </w:r>
          </w:p>
        </w:tc>
        <w:tc>
          <w:tcPr>
            <w:tcW w:w="3420" w:type="dxa"/>
          </w:tcPr>
          <w:p w:rsidR="00B635C1" w:rsidRDefault="005B2E16" w:rsidP="006778BC">
            <w:pPr>
              <w:rPr>
                <w:rFonts w:ascii="Times New Roman" w:hAnsi="Times New Roman"/>
              </w:rPr>
            </w:pPr>
            <w:r>
              <w:rPr>
                <w:rFonts w:ascii="Arial" w:hAnsi="Arial" w:cs="Arial"/>
                <w:color w:val="222222"/>
                <w:shd w:val="clear" w:color="auto" w:fill="FFFFFF"/>
              </w:rPr>
              <w:t xml:space="preserve"> "The county assessor is the elected official responsible for determining assessed values and preparing the tax roll. Anyone who acquires an interest in real property must file a change in ownership statement with the county </w:t>
            </w:r>
            <w:r w:rsidRPr="005B2E16">
              <w:rPr>
                <w:rFonts w:ascii="Arial" w:hAnsi="Arial" w:cs="Arial"/>
                <w:color w:val="222222"/>
                <w:shd w:val="clear" w:color="auto" w:fill="FFFFFF"/>
              </w:rPr>
              <w:t>recorder or assessor within</w:t>
            </w:r>
            <w:r>
              <w:rPr>
                <w:rFonts w:ascii="Arial" w:hAnsi="Arial" w:cs="Arial"/>
                <w:color w:val="222222"/>
                <w:shd w:val="clear" w:color="auto" w:fill="FFFFFF"/>
              </w:rPr>
              <w:t xml:space="preserve"> 45 </w:t>
            </w:r>
            <w:r w:rsidRPr="005B2E16">
              <w:rPr>
                <w:rFonts w:ascii="Arial" w:hAnsi="Arial" w:cs="Arial"/>
                <w:color w:val="222222"/>
                <w:shd w:val="clear" w:color="auto" w:fill="FFFFFF"/>
              </w:rPr>
              <w:t>days of the date the transfer is recorded. If the transfer is not recorded, the statement must be filed within</w:t>
            </w:r>
            <w:r>
              <w:rPr>
                <w:rFonts w:ascii="Arial" w:hAnsi="Arial" w:cs="Arial"/>
                <w:color w:val="222222"/>
                <w:shd w:val="clear" w:color="auto" w:fill="FFFFFF"/>
              </w:rPr>
              <w:t xml:space="preserve"> 45</w:t>
            </w:r>
            <w:r w:rsidRPr="005B2E16">
              <w:rPr>
                <w:rFonts w:ascii="Arial" w:hAnsi="Arial" w:cs="Arial"/>
                <w:color w:val="222222"/>
                <w:shd w:val="clear" w:color="auto" w:fill="FFFFFF"/>
              </w:rPr>
              <w:t> days</w:t>
            </w:r>
            <w:r>
              <w:rPr>
                <w:rFonts w:ascii="Arial" w:hAnsi="Arial" w:cs="Arial"/>
                <w:color w:val="222222"/>
                <w:shd w:val="clear" w:color="auto" w:fill="FFFFFF"/>
              </w:rPr>
              <w:t xml:space="preserve"> of the date of the change in ownership. The penalty for failure to file within 45 days of a written request by the assessor is $100 or 10% of the tax computed on the new base property value, whichever is greater. The penalty also applies if complete information is not supplied following a second request. "</w:t>
            </w:r>
          </w:p>
        </w:tc>
        <w:tc>
          <w:tcPr>
            <w:tcW w:w="3465" w:type="dxa"/>
          </w:tcPr>
          <w:p w:rsidR="00B635C1" w:rsidRDefault="005B2E16" w:rsidP="006778BC">
            <w:pPr>
              <w:rPr>
                <w:rFonts w:ascii="Times New Roman" w:hAnsi="Times New Roman"/>
              </w:rPr>
            </w:pPr>
            <w:r>
              <w:rPr>
                <w:rFonts w:ascii="Arial" w:hAnsi="Arial" w:cs="Arial"/>
                <w:color w:val="222222"/>
                <w:shd w:val="clear" w:color="auto" w:fill="FFFFFF"/>
              </w:rPr>
              <w:t> "The county assessor is the elected official responsible for determining assessed values and preparing the tax roll. Anyone who acquires an interest in real property must file a change in ownership statement with the county recorder or assessor within </w:t>
            </w:r>
            <w:r>
              <w:rPr>
                <w:rFonts w:ascii="Arial" w:hAnsi="Arial" w:cs="Arial"/>
                <w:color w:val="222222"/>
                <w:shd w:val="clear" w:color="auto" w:fill="FFFF00"/>
              </w:rPr>
              <w:t>90</w:t>
            </w:r>
            <w:r>
              <w:rPr>
                <w:rFonts w:ascii="Arial" w:hAnsi="Arial" w:cs="Arial"/>
                <w:color w:val="222222"/>
                <w:shd w:val="clear" w:color="auto" w:fill="FFFFFF"/>
              </w:rPr>
              <w:t> days of the date the transfer is recorded. If the transfer is not recorded, the statement must be filed within </w:t>
            </w:r>
            <w:r>
              <w:rPr>
                <w:rFonts w:ascii="Arial" w:hAnsi="Arial" w:cs="Arial"/>
                <w:color w:val="222222"/>
                <w:shd w:val="clear" w:color="auto" w:fill="FFFF00"/>
              </w:rPr>
              <w:t>90</w:t>
            </w:r>
            <w:r>
              <w:rPr>
                <w:rFonts w:ascii="Arial" w:hAnsi="Arial" w:cs="Arial"/>
                <w:color w:val="222222"/>
                <w:shd w:val="clear" w:color="auto" w:fill="FFFFFF"/>
              </w:rPr>
              <w:t xml:space="preserve"> days of the date of the change in ownership. The penalty for failure to file within </w:t>
            </w:r>
            <w:r w:rsidRPr="005B2E16">
              <w:rPr>
                <w:rFonts w:ascii="Arial" w:hAnsi="Arial" w:cs="Arial"/>
                <w:color w:val="222222"/>
                <w:highlight w:val="yellow"/>
                <w:shd w:val="clear" w:color="auto" w:fill="FFFFFF"/>
              </w:rPr>
              <w:t>90</w:t>
            </w:r>
            <w:r>
              <w:rPr>
                <w:rFonts w:ascii="Arial" w:hAnsi="Arial" w:cs="Arial"/>
                <w:color w:val="222222"/>
                <w:shd w:val="clear" w:color="auto" w:fill="FFFFFF"/>
              </w:rPr>
              <w:t xml:space="preserve"> days of a written request by the assessor is $100 or 10% of the tax computed on the new base property value, whichever is greater. The penalty also applies if complete information is not supplied following a second request. "</w:t>
            </w:r>
          </w:p>
        </w:tc>
      </w:tr>
      <w:tr w:rsidR="00B635C1" w:rsidRPr="00B261C9" w:rsidTr="006778BC">
        <w:trPr>
          <w:trHeight w:val="150"/>
          <w:jc w:val="center"/>
        </w:trPr>
        <w:tc>
          <w:tcPr>
            <w:tcW w:w="3105" w:type="dxa"/>
          </w:tcPr>
          <w:p w:rsidR="00B635C1" w:rsidRDefault="00B635C1" w:rsidP="006778BC">
            <w:pPr>
              <w:tabs>
                <w:tab w:val="left" w:pos="1800"/>
              </w:tabs>
              <w:autoSpaceDE w:val="0"/>
              <w:autoSpaceDN w:val="0"/>
              <w:adjustRightInd w:val="0"/>
              <w:rPr>
                <w:rFonts w:ascii="Times New Roman" w:hAnsi="Times New Roman"/>
              </w:rPr>
            </w:pPr>
          </w:p>
        </w:tc>
        <w:tc>
          <w:tcPr>
            <w:tcW w:w="3420" w:type="dxa"/>
          </w:tcPr>
          <w:p w:rsidR="00B635C1" w:rsidRDefault="00B635C1" w:rsidP="006778BC">
            <w:pPr>
              <w:rPr>
                <w:rFonts w:ascii="Times New Roman" w:hAnsi="Times New Roman"/>
              </w:rPr>
            </w:pPr>
          </w:p>
        </w:tc>
        <w:tc>
          <w:tcPr>
            <w:tcW w:w="3465" w:type="dxa"/>
          </w:tcPr>
          <w:p w:rsidR="00B635C1" w:rsidRDefault="00B635C1" w:rsidP="006778BC">
            <w:pPr>
              <w:rPr>
                <w:rFonts w:ascii="Times New Roman" w:hAnsi="Times New Roman"/>
              </w:rPr>
            </w:pPr>
          </w:p>
        </w:tc>
      </w:tr>
      <w:tr w:rsidR="00B635C1" w:rsidRPr="00B261C9" w:rsidTr="006778BC">
        <w:trPr>
          <w:trHeight w:val="150"/>
          <w:jc w:val="center"/>
        </w:trPr>
        <w:tc>
          <w:tcPr>
            <w:tcW w:w="3105" w:type="dxa"/>
          </w:tcPr>
          <w:p w:rsidR="00B635C1" w:rsidRDefault="00B635C1" w:rsidP="006778BC">
            <w:pPr>
              <w:tabs>
                <w:tab w:val="left" w:pos="1800"/>
              </w:tabs>
              <w:autoSpaceDE w:val="0"/>
              <w:autoSpaceDN w:val="0"/>
              <w:adjustRightInd w:val="0"/>
              <w:rPr>
                <w:rFonts w:ascii="Times New Roman" w:hAnsi="Times New Roman"/>
              </w:rPr>
            </w:pPr>
          </w:p>
        </w:tc>
        <w:tc>
          <w:tcPr>
            <w:tcW w:w="3420" w:type="dxa"/>
          </w:tcPr>
          <w:p w:rsidR="00B635C1" w:rsidRPr="0071553F" w:rsidRDefault="00B635C1" w:rsidP="006778BC">
            <w:pPr>
              <w:rPr>
                <w:rFonts w:ascii="Times New Roman" w:hAnsi="Times New Roman"/>
              </w:rPr>
            </w:pPr>
          </w:p>
        </w:tc>
        <w:tc>
          <w:tcPr>
            <w:tcW w:w="3465" w:type="dxa"/>
          </w:tcPr>
          <w:p w:rsidR="00B635C1" w:rsidRPr="0071553F" w:rsidRDefault="00B635C1" w:rsidP="006778BC">
            <w:pPr>
              <w:rPr>
                <w:rFonts w:ascii="Times New Roman" w:hAnsi="Times New Roman"/>
              </w:rPr>
            </w:pPr>
          </w:p>
        </w:tc>
      </w:tr>
      <w:tr w:rsidR="00B635C1" w:rsidRPr="00B261C9" w:rsidTr="00B635C1">
        <w:trPr>
          <w:trHeight w:val="70"/>
          <w:jc w:val="center"/>
        </w:trPr>
        <w:tc>
          <w:tcPr>
            <w:tcW w:w="3105" w:type="dxa"/>
          </w:tcPr>
          <w:p w:rsidR="00B635C1" w:rsidRPr="00AF33C8" w:rsidRDefault="00B635C1" w:rsidP="006778BC">
            <w:pPr>
              <w:tabs>
                <w:tab w:val="left" w:pos="1800"/>
              </w:tabs>
              <w:autoSpaceDE w:val="0"/>
              <w:autoSpaceDN w:val="0"/>
              <w:adjustRightInd w:val="0"/>
              <w:rPr>
                <w:rFonts w:ascii="Times New Roman" w:hAnsi="Times New Roman"/>
              </w:rPr>
            </w:pPr>
          </w:p>
        </w:tc>
        <w:tc>
          <w:tcPr>
            <w:tcW w:w="3420" w:type="dxa"/>
          </w:tcPr>
          <w:p w:rsidR="00B635C1" w:rsidRPr="00AF33C8" w:rsidRDefault="00B635C1" w:rsidP="006778BC">
            <w:pPr>
              <w:rPr>
                <w:rFonts w:ascii="Times New Roman" w:hAnsi="Times New Roman"/>
              </w:rPr>
            </w:pPr>
          </w:p>
        </w:tc>
        <w:tc>
          <w:tcPr>
            <w:tcW w:w="3465" w:type="dxa"/>
          </w:tcPr>
          <w:p w:rsidR="00B635C1" w:rsidRPr="00AF33C8" w:rsidRDefault="00B635C1" w:rsidP="006778BC">
            <w:pPr>
              <w:rPr>
                <w:rFonts w:ascii="Times New Roman" w:hAnsi="Times New Roman"/>
              </w:rPr>
            </w:pPr>
          </w:p>
        </w:tc>
      </w:tr>
    </w:tbl>
    <w:p w:rsidR="00961996" w:rsidRDefault="00961996" w:rsidP="00961996">
      <w:pPr>
        <w:tabs>
          <w:tab w:val="left" w:pos="1800"/>
        </w:tabs>
        <w:autoSpaceDE w:val="0"/>
        <w:autoSpaceDN w:val="0"/>
        <w:adjustRightInd w:val="0"/>
        <w:rPr>
          <w:rFonts w:ascii="Times New Roman" w:hAnsi="Times New Roman"/>
          <w:i/>
        </w:rPr>
      </w:pPr>
      <w:r>
        <w:rPr>
          <w:rFonts w:ascii="Times New Roman" w:hAnsi="Times New Roman"/>
          <w:i/>
        </w:rPr>
        <w:t>Thir</w:t>
      </w:r>
      <w:r w:rsidRPr="00B635C1">
        <w:rPr>
          <w:rFonts w:ascii="Times New Roman" w:hAnsi="Times New Roman"/>
          <w:i/>
        </w:rPr>
        <w:t>d Revision</w:t>
      </w:r>
    </w:p>
    <w:tbl>
      <w:tblPr>
        <w:tblW w:w="52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2"/>
        <w:gridCol w:w="3339"/>
        <w:gridCol w:w="3383"/>
      </w:tblGrid>
      <w:tr w:rsidR="00961996" w:rsidRPr="00B261C9" w:rsidTr="00E5230A">
        <w:trPr>
          <w:trHeight w:val="144"/>
          <w:jc w:val="center"/>
        </w:trPr>
        <w:tc>
          <w:tcPr>
            <w:tcW w:w="3032" w:type="dxa"/>
            <w:shd w:val="clear" w:color="auto" w:fill="CCFFCC"/>
          </w:tcPr>
          <w:p w:rsidR="00961996" w:rsidRPr="00B261C9" w:rsidRDefault="00961996" w:rsidP="00BA18EE">
            <w:pPr>
              <w:tabs>
                <w:tab w:val="left" w:pos="1800"/>
              </w:tabs>
              <w:autoSpaceDE w:val="0"/>
              <w:autoSpaceDN w:val="0"/>
              <w:adjustRightInd w:val="0"/>
              <w:jc w:val="center"/>
              <w:rPr>
                <w:rFonts w:ascii="Times New Roman" w:hAnsi="Times New Roman"/>
                <w:b/>
              </w:rPr>
            </w:pPr>
            <w:r w:rsidRPr="00B261C9">
              <w:rPr>
                <w:rFonts w:ascii="Times New Roman" w:hAnsi="Times New Roman"/>
                <w:b/>
              </w:rPr>
              <w:t>Page/Location</w:t>
            </w:r>
          </w:p>
        </w:tc>
        <w:tc>
          <w:tcPr>
            <w:tcW w:w="3339" w:type="dxa"/>
            <w:shd w:val="clear" w:color="auto" w:fill="CCFFCC"/>
          </w:tcPr>
          <w:p w:rsidR="00961996" w:rsidRPr="00B261C9" w:rsidRDefault="00961996" w:rsidP="00BA18EE">
            <w:pPr>
              <w:tabs>
                <w:tab w:val="left" w:pos="1800"/>
              </w:tabs>
              <w:autoSpaceDE w:val="0"/>
              <w:autoSpaceDN w:val="0"/>
              <w:adjustRightInd w:val="0"/>
              <w:jc w:val="center"/>
              <w:rPr>
                <w:rFonts w:ascii="Times New Roman" w:hAnsi="Times New Roman"/>
                <w:b/>
              </w:rPr>
            </w:pPr>
            <w:r>
              <w:rPr>
                <w:rFonts w:ascii="Times New Roman" w:hAnsi="Times New Roman"/>
                <w:b/>
              </w:rPr>
              <w:t>Reads Now</w:t>
            </w:r>
          </w:p>
        </w:tc>
        <w:tc>
          <w:tcPr>
            <w:tcW w:w="3383" w:type="dxa"/>
            <w:shd w:val="clear" w:color="auto" w:fill="CCFFCC"/>
          </w:tcPr>
          <w:p w:rsidR="00961996" w:rsidRPr="00B261C9" w:rsidRDefault="00961996" w:rsidP="00BA18EE">
            <w:pPr>
              <w:tabs>
                <w:tab w:val="left" w:pos="1800"/>
              </w:tabs>
              <w:autoSpaceDE w:val="0"/>
              <w:autoSpaceDN w:val="0"/>
              <w:adjustRightInd w:val="0"/>
              <w:jc w:val="center"/>
              <w:rPr>
                <w:rFonts w:ascii="Times New Roman" w:hAnsi="Times New Roman"/>
                <w:b/>
              </w:rPr>
            </w:pPr>
            <w:r>
              <w:rPr>
                <w:rFonts w:ascii="Times New Roman" w:hAnsi="Times New Roman"/>
                <w:b/>
              </w:rPr>
              <w:t>Should Be</w:t>
            </w:r>
          </w:p>
        </w:tc>
      </w:tr>
      <w:tr w:rsidR="00961996" w:rsidRPr="00B261C9" w:rsidTr="00E5230A">
        <w:trPr>
          <w:trHeight w:val="150"/>
          <w:jc w:val="center"/>
        </w:trPr>
        <w:tc>
          <w:tcPr>
            <w:tcW w:w="3032" w:type="dxa"/>
          </w:tcPr>
          <w:p w:rsidR="00BE186F" w:rsidRDefault="00BE186F" w:rsidP="00BA18EE">
            <w:pPr>
              <w:tabs>
                <w:tab w:val="left" w:pos="1800"/>
              </w:tabs>
              <w:autoSpaceDE w:val="0"/>
              <w:autoSpaceDN w:val="0"/>
              <w:adjustRightInd w:val="0"/>
              <w:rPr>
                <w:rFonts w:ascii="Times New Roman" w:hAnsi="Times New Roman"/>
              </w:rPr>
            </w:pPr>
            <w:r>
              <w:rPr>
                <w:rFonts w:ascii="Times New Roman" w:hAnsi="Times New Roman"/>
              </w:rPr>
              <w:t>526</w:t>
            </w:r>
          </w:p>
          <w:p w:rsidR="00961996" w:rsidRDefault="00961996" w:rsidP="00BA18EE">
            <w:pPr>
              <w:tabs>
                <w:tab w:val="left" w:pos="1800"/>
              </w:tabs>
              <w:autoSpaceDE w:val="0"/>
              <w:autoSpaceDN w:val="0"/>
              <w:adjustRightInd w:val="0"/>
              <w:rPr>
                <w:rFonts w:ascii="Times New Roman" w:hAnsi="Times New Roman"/>
              </w:rPr>
            </w:pPr>
            <w:r>
              <w:rPr>
                <w:rFonts w:ascii="Times New Roman" w:hAnsi="Times New Roman"/>
              </w:rPr>
              <w:t xml:space="preserve">59, </w:t>
            </w:r>
            <w:r>
              <w:rPr>
                <w:rFonts w:ascii="Arial" w:hAnsi="Arial" w:cs="Arial"/>
                <w:color w:val="222222"/>
                <w:shd w:val="clear" w:color="auto" w:fill="FFFFFF"/>
              </w:rPr>
              <w:t> UNIT 3 Exercise 3-1, #5</w:t>
            </w:r>
          </w:p>
        </w:tc>
        <w:tc>
          <w:tcPr>
            <w:tcW w:w="3339" w:type="dxa"/>
          </w:tcPr>
          <w:p w:rsidR="00961996" w:rsidRDefault="00961996" w:rsidP="00BA18EE">
            <w:pPr>
              <w:rPr>
                <w:rFonts w:ascii="Times New Roman" w:hAnsi="Times New Roman"/>
              </w:rPr>
            </w:pPr>
            <w:r>
              <w:rPr>
                <w:rFonts w:ascii="Arial" w:hAnsi="Arial" w:cs="Arial"/>
                <w:color w:val="222222"/>
                <w:shd w:val="clear" w:color="auto" w:fill="FFFFFF"/>
              </w:rPr>
              <w:t>The nephew has a life estate. The uncle has a remainder while the life estate is in existence. If the nephew dies before the uncle, the nephew’s heirs acquire the life estate until the uncle’s death. On the uncle’s death, the uncle’s sister has a fee simple estate.</w:t>
            </w:r>
          </w:p>
        </w:tc>
        <w:tc>
          <w:tcPr>
            <w:tcW w:w="3383" w:type="dxa"/>
          </w:tcPr>
          <w:p w:rsidR="00737190" w:rsidRPr="00737190" w:rsidRDefault="00961996" w:rsidP="00BA18EE">
            <w:pPr>
              <w:rPr>
                <w:rFonts w:ascii="Arial" w:hAnsi="Arial" w:cs="Arial"/>
                <w:color w:val="222222"/>
                <w:shd w:val="clear" w:color="auto" w:fill="FFFFFF"/>
              </w:rPr>
            </w:pPr>
            <w:r>
              <w:rPr>
                <w:rFonts w:ascii="Arial" w:hAnsi="Arial" w:cs="Arial"/>
                <w:color w:val="222222"/>
                <w:shd w:val="clear" w:color="auto" w:fill="FFFFFF"/>
              </w:rPr>
              <w:t xml:space="preserve">The nephew has a life estate. The uncle has </w:t>
            </w:r>
            <w:r w:rsidRPr="00961996">
              <w:rPr>
                <w:rFonts w:ascii="Arial" w:hAnsi="Arial" w:cs="Arial"/>
                <w:color w:val="222222"/>
                <w:highlight w:val="yellow"/>
                <w:shd w:val="clear" w:color="auto" w:fill="FFFFFF"/>
              </w:rPr>
              <w:t xml:space="preserve">no interest in the property. The uncle's life is only the measure of the length of the life estate. During the term of the life estate the uncle's sister has the estate in remainder. If the nephew dies before the uncle, the nephew’s heirs acquire the life estate until </w:t>
            </w:r>
            <w:r w:rsidRPr="00961996">
              <w:rPr>
                <w:rFonts w:ascii="Arial" w:hAnsi="Arial" w:cs="Arial"/>
                <w:color w:val="222222"/>
                <w:highlight w:val="yellow"/>
                <w:shd w:val="clear" w:color="auto" w:fill="FFFFFF"/>
              </w:rPr>
              <w:lastRenderedPageBreak/>
              <w:t>the uncle’s death</w:t>
            </w:r>
            <w:r>
              <w:rPr>
                <w:rFonts w:ascii="Arial" w:hAnsi="Arial" w:cs="Arial"/>
                <w:color w:val="222222"/>
                <w:shd w:val="clear" w:color="auto" w:fill="FFFFFF"/>
              </w:rPr>
              <w:t>. On the uncle’s death, the uncle’s sister has a fee simple estate.</w:t>
            </w:r>
          </w:p>
        </w:tc>
      </w:tr>
      <w:tr w:rsidR="00737190" w:rsidRPr="00B261C9" w:rsidTr="00E5230A">
        <w:trPr>
          <w:trHeight w:val="150"/>
          <w:jc w:val="center"/>
        </w:trPr>
        <w:tc>
          <w:tcPr>
            <w:tcW w:w="3032" w:type="dxa"/>
          </w:tcPr>
          <w:p w:rsidR="00737190" w:rsidRDefault="00737190" w:rsidP="00737190">
            <w:pPr>
              <w:tabs>
                <w:tab w:val="left" w:pos="1800"/>
              </w:tabs>
              <w:autoSpaceDE w:val="0"/>
              <w:autoSpaceDN w:val="0"/>
              <w:adjustRightInd w:val="0"/>
              <w:rPr>
                <w:rFonts w:ascii="Times New Roman" w:hAnsi="Times New Roman"/>
              </w:rPr>
            </w:pPr>
            <w:r>
              <w:rPr>
                <w:rFonts w:ascii="Times New Roman" w:hAnsi="Times New Roman"/>
              </w:rPr>
              <w:lastRenderedPageBreak/>
              <w:t>266, Interest rate and loan term</w:t>
            </w:r>
          </w:p>
        </w:tc>
        <w:tc>
          <w:tcPr>
            <w:tcW w:w="3339" w:type="dxa"/>
          </w:tcPr>
          <w:p w:rsidR="00737190" w:rsidRPr="00E5230A" w:rsidRDefault="00737190" w:rsidP="00737190">
            <w:pPr>
              <w:autoSpaceDE w:val="0"/>
              <w:autoSpaceDN w:val="0"/>
              <w:adjustRightInd w:val="0"/>
              <w:rPr>
                <w:rFonts w:ascii="Goudy Oldstyle Std" w:hAnsi="Goudy Oldstyle Std" w:cs="Goudy Oldstyle Std"/>
                <w:color w:val="000000"/>
              </w:rPr>
            </w:pPr>
          </w:p>
          <w:p w:rsidR="00737190" w:rsidRDefault="00737190" w:rsidP="00737190">
            <w:pPr>
              <w:rPr>
                <w:rFonts w:ascii="Times New Roman" w:hAnsi="Times New Roman"/>
              </w:rPr>
            </w:pPr>
            <w:r w:rsidRPr="00E5230A">
              <w:rPr>
                <w:rFonts w:ascii="Goudy Oldstyle Std" w:hAnsi="Goudy Oldstyle Std"/>
                <w:color w:val="221E1F"/>
                <w:sz w:val="22"/>
                <w:szCs w:val="22"/>
              </w:rPr>
              <w:t>The loan term is either 20 or 30 years. Prepay</w:t>
            </w:r>
            <w:r w:rsidRPr="00E5230A">
              <w:rPr>
                <w:rFonts w:ascii="Goudy Oldstyle Std" w:hAnsi="Goudy Oldstyle Std"/>
                <w:color w:val="221E1F"/>
                <w:sz w:val="22"/>
                <w:szCs w:val="22"/>
              </w:rPr>
              <w:softHyphen/>
              <w:t>ment of principal can be made at any time, which can shorten the loan term. CDVA offers four funding/interest rate programs. A veteran’s eligibility for each program may vary based on income or purchase price limits, prior home owner</w:t>
            </w:r>
            <w:r w:rsidRPr="00E5230A">
              <w:rPr>
                <w:rFonts w:ascii="Goudy Oldstyle Std" w:hAnsi="Goudy Oldstyle Std"/>
                <w:color w:val="221E1F"/>
                <w:sz w:val="22"/>
                <w:szCs w:val="22"/>
              </w:rPr>
              <w:softHyphen/>
              <w:t>ship, and wartime service. The rates posted for these programs in 2019 range from 3.45% (3.816% APR) for a 20-year term to 3.875% (4.413% APR) for a 30-year term. A rate of 5.99% (6.294% APR) is available for eligible veterans who do not qualify for a lower rate; the interest rate on a loan on a mobile home in a park is one percentage point higher than that.</w:t>
            </w:r>
          </w:p>
        </w:tc>
        <w:tc>
          <w:tcPr>
            <w:tcW w:w="3383" w:type="dxa"/>
          </w:tcPr>
          <w:p w:rsidR="00737190" w:rsidRPr="00290CA0" w:rsidRDefault="00737190" w:rsidP="00737190">
            <w:pPr>
              <w:rPr>
                <w:rFonts w:ascii="Times New Roman" w:hAnsi="Times New Roman"/>
                <w:b/>
              </w:rPr>
            </w:pPr>
            <w:r w:rsidRPr="00E5230A">
              <w:rPr>
                <w:rFonts w:ascii="Goudy Oldstyle Std" w:hAnsi="Goudy Oldstyle Std" w:cs="Segoe UI"/>
                <w:color w:val="000000"/>
                <w:sz w:val="22"/>
                <w:szCs w:val="32"/>
                <w:highlight w:val="yellow"/>
              </w:rPr>
              <w:t xml:space="preserve">Interest rates offered on </w:t>
            </w:r>
            <w:proofErr w:type="spellStart"/>
            <w:r w:rsidRPr="00E5230A">
              <w:rPr>
                <w:rFonts w:ascii="Goudy Oldstyle Std" w:hAnsi="Goudy Oldstyle Std" w:cs="Segoe UI"/>
                <w:color w:val="000000"/>
                <w:sz w:val="22"/>
                <w:szCs w:val="32"/>
                <w:highlight w:val="yellow"/>
              </w:rPr>
              <w:t>CalVet</w:t>
            </w:r>
            <w:proofErr w:type="spellEnd"/>
            <w:r w:rsidRPr="00E5230A">
              <w:rPr>
                <w:rFonts w:ascii="Goudy Oldstyle Std" w:hAnsi="Goudy Oldstyle Std" w:cs="Segoe UI"/>
                <w:color w:val="000000"/>
                <w:sz w:val="22"/>
                <w:szCs w:val="32"/>
                <w:highlight w:val="yellow"/>
              </w:rPr>
              <w:t xml:space="preserve"> loans are based on the rates paid on the bonds that fund the program and are updated annually</w:t>
            </w:r>
            <w:r w:rsidRPr="00E5230A">
              <w:rPr>
                <w:rFonts w:ascii="Goudy Oldstyle Std" w:hAnsi="Goudy Oldstyle Std" w:cs="Segoe UI"/>
                <w:color w:val="000000"/>
                <w:sz w:val="22"/>
                <w:szCs w:val="32"/>
              </w:rPr>
              <w:t>.</w:t>
            </w:r>
            <w:r w:rsidRPr="00E5230A">
              <w:rPr>
                <w:rFonts w:ascii="Segoe UI" w:hAnsi="Segoe UI" w:cs="Segoe UI"/>
                <w:color w:val="000000"/>
                <w:sz w:val="22"/>
                <w:szCs w:val="32"/>
              </w:rPr>
              <w:t xml:space="preserve"> </w:t>
            </w:r>
            <w:r w:rsidRPr="00E5230A">
              <w:rPr>
                <w:rFonts w:ascii="Goudy Oldstyle Std" w:hAnsi="Goudy Oldstyle Std"/>
                <w:color w:val="221E1F"/>
                <w:sz w:val="22"/>
                <w:szCs w:val="22"/>
              </w:rPr>
              <w:t>The loan term is either 20 or 30 years. Prepay</w:t>
            </w:r>
            <w:r w:rsidRPr="00E5230A">
              <w:rPr>
                <w:rFonts w:ascii="Goudy Oldstyle Std" w:hAnsi="Goudy Oldstyle Std"/>
                <w:color w:val="221E1F"/>
                <w:sz w:val="22"/>
                <w:szCs w:val="22"/>
              </w:rPr>
              <w:softHyphen/>
              <w:t>ment of principal can be made at any time, which can shorten the loan term. CDVA offers four funding/interest rate programs. A veteran’s eligibility for each program may vary based on income or purchase price limits, prior home owner</w:t>
            </w:r>
            <w:r w:rsidRPr="00E5230A">
              <w:rPr>
                <w:rFonts w:ascii="Goudy Oldstyle Std" w:hAnsi="Goudy Oldstyle Std"/>
                <w:color w:val="221E1F"/>
                <w:sz w:val="22"/>
                <w:szCs w:val="22"/>
              </w:rPr>
              <w:softHyphen/>
              <w:t>ship, and wartime service. The rates posted for these programs in 2019 range from 3.45% (3.816% APR) for a 20-year term to 3.875% (4.413% APR) for a 30-year term. A rate of 5.99% (6.294% APR) is available for eligible veterans who do not qualify for a lower rate; the interest rate on a loan on a mobile home in a park is one percentage point higher than that.</w:t>
            </w:r>
          </w:p>
        </w:tc>
      </w:tr>
    </w:tbl>
    <w:p w:rsidR="00E5230A" w:rsidRDefault="00E5230A" w:rsidP="00E5230A">
      <w:pPr>
        <w:tabs>
          <w:tab w:val="left" w:pos="1800"/>
        </w:tabs>
        <w:autoSpaceDE w:val="0"/>
        <w:autoSpaceDN w:val="0"/>
        <w:adjustRightInd w:val="0"/>
        <w:rPr>
          <w:rFonts w:ascii="Times New Roman" w:hAnsi="Times New Roman"/>
          <w:i/>
        </w:rPr>
      </w:pPr>
      <w:r>
        <w:rPr>
          <w:rFonts w:ascii="Times New Roman" w:hAnsi="Times New Roman"/>
          <w:i/>
        </w:rPr>
        <w:t xml:space="preserve">Fourth </w:t>
      </w:r>
      <w:r w:rsidRPr="00B635C1">
        <w:rPr>
          <w:rFonts w:ascii="Times New Roman" w:hAnsi="Times New Roman"/>
          <w:i/>
        </w:rPr>
        <w:t>Revision</w:t>
      </w:r>
    </w:p>
    <w:tbl>
      <w:tblPr>
        <w:tblW w:w="52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2"/>
        <w:gridCol w:w="3339"/>
        <w:gridCol w:w="3383"/>
      </w:tblGrid>
      <w:tr w:rsidR="00E5230A" w:rsidRPr="00B261C9" w:rsidTr="00B65FDA">
        <w:trPr>
          <w:trHeight w:val="144"/>
          <w:jc w:val="center"/>
        </w:trPr>
        <w:tc>
          <w:tcPr>
            <w:tcW w:w="3105" w:type="dxa"/>
            <w:shd w:val="clear" w:color="auto" w:fill="CCFFCC"/>
          </w:tcPr>
          <w:p w:rsidR="00E5230A" w:rsidRPr="00B261C9" w:rsidRDefault="00E5230A" w:rsidP="00B65FDA">
            <w:pPr>
              <w:tabs>
                <w:tab w:val="left" w:pos="1800"/>
              </w:tabs>
              <w:autoSpaceDE w:val="0"/>
              <w:autoSpaceDN w:val="0"/>
              <w:adjustRightInd w:val="0"/>
              <w:jc w:val="center"/>
              <w:rPr>
                <w:rFonts w:ascii="Times New Roman" w:hAnsi="Times New Roman"/>
                <w:b/>
              </w:rPr>
            </w:pPr>
            <w:r w:rsidRPr="00B261C9">
              <w:rPr>
                <w:rFonts w:ascii="Times New Roman" w:hAnsi="Times New Roman"/>
                <w:b/>
              </w:rPr>
              <w:t>Page/Location</w:t>
            </w:r>
          </w:p>
        </w:tc>
        <w:tc>
          <w:tcPr>
            <w:tcW w:w="3420" w:type="dxa"/>
            <w:shd w:val="clear" w:color="auto" w:fill="CCFFCC"/>
          </w:tcPr>
          <w:p w:rsidR="00E5230A" w:rsidRPr="00B261C9" w:rsidRDefault="00E5230A" w:rsidP="00B65FDA">
            <w:pPr>
              <w:tabs>
                <w:tab w:val="left" w:pos="1800"/>
              </w:tabs>
              <w:autoSpaceDE w:val="0"/>
              <w:autoSpaceDN w:val="0"/>
              <w:adjustRightInd w:val="0"/>
              <w:jc w:val="center"/>
              <w:rPr>
                <w:rFonts w:ascii="Times New Roman" w:hAnsi="Times New Roman"/>
                <w:b/>
              </w:rPr>
            </w:pPr>
            <w:r>
              <w:rPr>
                <w:rFonts w:ascii="Times New Roman" w:hAnsi="Times New Roman"/>
                <w:b/>
              </w:rPr>
              <w:t>Reads Now</w:t>
            </w:r>
          </w:p>
        </w:tc>
        <w:tc>
          <w:tcPr>
            <w:tcW w:w="3465" w:type="dxa"/>
            <w:shd w:val="clear" w:color="auto" w:fill="CCFFCC"/>
          </w:tcPr>
          <w:p w:rsidR="00E5230A" w:rsidRPr="00B261C9" w:rsidRDefault="00E5230A" w:rsidP="00B65FDA">
            <w:pPr>
              <w:tabs>
                <w:tab w:val="left" w:pos="1800"/>
              </w:tabs>
              <w:autoSpaceDE w:val="0"/>
              <w:autoSpaceDN w:val="0"/>
              <w:adjustRightInd w:val="0"/>
              <w:jc w:val="center"/>
              <w:rPr>
                <w:rFonts w:ascii="Times New Roman" w:hAnsi="Times New Roman"/>
                <w:b/>
              </w:rPr>
            </w:pPr>
            <w:r>
              <w:rPr>
                <w:rFonts w:ascii="Times New Roman" w:hAnsi="Times New Roman"/>
                <w:b/>
              </w:rPr>
              <w:t>Should Be</w:t>
            </w:r>
          </w:p>
        </w:tc>
      </w:tr>
      <w:tr w:rsidR="00E5230A" w:rsidRPr="00B261C9" w:rsidTr="00B65FDA">
        <w:trPr>
          <w:trHeight w:val="150"/>
          <w:jc w:val="center"/>
        </w:trPr>
        <w:tc>
          <w:tcPr>
            <w:tcW w:w="3105" w:type="dxa"/>
          </w:tcPr>
          <w:p w:rsidR="00E5230A" w:rsidRDefault="00D776C7" w:rsidP="00B65FDA">
            <w:pPr>
              <w:tabs>
                <w:tab w:val="left" w:pos="1800"/>
              </w:tabs>
              <w:autoSpaceDE w:val="0"/>
              <w:autoSpaceDN w:val="0"/>
              <w:adjustRightInd w:val="0"/>
              <w:rPr>
                <w:rFonts w:ascii="Times New Roman" w:hAnsi="Times New Roman"/>
              </w:rPr>
            </w:pPr>
            <w:r>
              <w:rPr>
                <w:rFonts w:ascii="Times New Roman" w:hAnsi="Times New Roman"/>
              </w:rPr>
              <w:t>Page 195, counteroffer</w:t>
            </w:r>
          </w:p>
        </w:tc>
        <w:tc>
          <w:tcPr>
            <w:tcW w:w="3420" w:type="dxa"/>
          </w:tcPr>
          <w:p w:rsidR="00E5230A" w:rsidRDefault="00D776C7" w:rsidP="00E5230A">
            <w:pPr>
              <w:rPr>
                <w:rFonts w:ascii="Times New Roman" w:hAnsi="Times New Roman"/>
              </w:rPr>
            </w:pPr>
            <w:r w:rsidRPr="00D776C7">
              <w:rPr>
                <w:rFonts w:ascii="Times New Roman" w:hAnsi="Times New Roman"/>
              </w:rPr>
              <w:t>The seller attaches a counteroffer to the original offer, indicating in the counteroffer the changed or additional terms. In the contract in Figure 7.1, the seller would check the box in paragraph 30, the acceptance paragraph of the purchase contract, indicating that the contract is accepted “subject to attached counteroffer.” The total number of pages then will include the counteroffer.</w:t>
            </w:r>
          </w:p>
        </w:tc>
        <w:tc>
          <w:tcPr>
            <w:tcW w:w="3465" w:type="dxa"/>
          </w:tcPr>
          <w:p w:rsidR="00E5230A" w:rsidRPr="00D776C7" w:rsidRDefault="00D776C7" w:rsidP="00D776C7">
            <w:pPr>
              <w:rPr>
                <w:rFonts w:ascii="Times New Roman" w:hAnsi="Times New Roman"/>
              </w:rPr>
            </w:pPr>
            <w:r w:rsidRPr="00D776C7">
              <w:rPr>
                <w:rFonts w:ascii="Times New Roman" w:hAnsi="Times New Roman"/>
              </w:rPr>
              <w:t xml:space="preserve">The seller attaches a counteroffer to the original offer, indicating in the counteroffer the changed or additional terms. In the contract in Figure 7.1, the seller would check the box in paragraph </w:t>
            </w:r>
            <w:r w:rsidRPr="00D776C7">
              <w:rPr>
                <w:rFonts w:ascii="Times New Roman" w:hAnsi="Times New Roman"/>
                <w:highlight w:val="yellow"/>
              </w:rPr>
              <w:t>32</w:t>
            </w:r>
            <w:r w:rsidRPr="00D776C7">
              <w:rPr>
                <w:rFonts w:ascii="Times New Roman" w:hAnsi="Times New Roman"/>
              </w:rPr>
              <w:t>, the acceptan</w:t>
            </w:r>
            <w:bookmarkStart w:id="0" w:name="_GoBack"/>
            <w:bookmarkEnd w:id="0"/>
            <w:r w:rsidRPr="00D776C7">
              <w:rPr>
                <w:rFonts w:ascii="Times New Roman" w:hAnsi="Times New Roman"/>
              </w:rPr>
              <w:t>ce paragraph of the purchase contract, indicating that the contract is accepted “subject to attached counteroffer.” The total number of pages then will include the counteroffer.</w:t>
            </w:r>
          </w:p>
        </w:tc>
      </w:tr>
    </w:tbl>
    <w:p w:rsidR="00B635C1" w:rsidRPr="00B635C1" w:rsidRDefault="00B635C1" w:rsidP="00B261C9">
      <w:pPr>
        <w:tabs>
          <w:tab w:val="left" w:pos="1800"/>
        </w:tabs>
        <w:autoSpaceDE w:val="0"/>
        <w:autoSpaceDN w:val="0"/>
        <w:adjustRightInd w:val="0"/>
        <w:rPr>
          <w:rFonts w:ascii="Times New Roman" w:hAnsi="Times New Roman"/>
          <w:i/>
        </w:rPr>
      </w:pPr>
    </w:p>
    <w:sectPr w:rsidR="00B635C1" w:rsidRPr="00B635C1" w:rsidSect="00A54C6C">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CE3" w:rsidRDefault="00E04CE3">
      <w:r>
        <w:separator/>
      </w:r>
    </w:p>
  </w:endnote>
  <w:endnote w:type="continuationSeparator" w:id="0">
    <w:p w:rsidR="00E04CE3" w:rsidRDefault="00E0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00000007" w:usb1="00000000" w:usb2="00000000" w:usb3="00000000" w:csb0="00000093" w:csb1="00000000"/>
  </w:font>
  <w:font w:name="BJNPA B+ Palatino">
    <w:altName w:val="Book Antiqu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oudy Oldstyle Std">
    <w:altName w:val="Goudy Oldstyle Std"/>
    <w:panose1 w:val="02020502050305020303"/>
    <w:charset w:val="00"/>
    <w:family w:val="roman"/>
    <w:notTrueType/>
    <w:pitch w:val="variable"/>
    <w:sig w:usb0="800000AF" w:usb1="5000204A" w:usb2="00000000" w:usb3="00000000" w:csb0="00000001" w:csb1="00000000"/>
  </w:font>
  <w:font w:name="Helvetica LT Std Light">
    <w:altName w:val="Helvetica LT Std Light"/>
    <w:panose1 w:val="020B0403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72" w:rsidRDefault="00E9614D" w:rsidP="00173F59">
    <w:pPr>
      <w:pStyle w:val="Footer"/>
      <w:framePr w:wrap="around" w:vAnchor="text" w:hAnchor="margin" w:xAlign="right" w:y="1"/>
      <w:rPr>
        <w:rStyle w:val="PageNumber"/>
      </w:rPr>
    </w:pPr>
    <w:r>
      <w:rPr>
        <w:rStyle w:val="PageNumber"/>
      </w:rPr>
      <w:fldChar w:fldCharType="begin"/>
    </w:r>
    <w:r w:rsidR="00DE2E72">
      <w:rPr>
        <w:rStyle w:val="PageNumber"/>
      </w:rPr>
      <w:instrText xml:space="preserve">PAGE  </w:instrText>
    </w:r>
    <w:r>
      <w:rPr>
        <w:rStyle w:val="PageNumber"/>
      </w:rPr>
      <w:fldChar w:fldCharType="end"/>
    </w:r>
  </w:p>
  <w:p w:rsidR="00DE2E72" w:rsidRDefault="00DE2E72" w:rsidP="00173F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AE1" w:rsidRDefault="00414AE1" w:rsidP="00414AE1">
    <w:pPr>
      <w:pStyle w:val="Footer"/>
      <w:tabs>
        <w:tab w:val="clear" w:pos="4320"/>
        <w:tab w:val="clear" w:pos="8640"/>
      </w:tabs>
      <w:ind w:firstLine="360"/>
      <w:jc w:val="right"/>
      <w:rPr>
        <w:rFonts w:ascii="Arial" w:hAnsi="Arial" w:cs="Arial"/>
        <w:sz w:val="20"/>
        <w:szCs w:val="20"/>
      </w:rPr>
    </w:pPr>
    <w:r w:rsidRPr="00D25C2E">
      <w:rPr>
        <w:rFonts w:ascii="Arial" w:hAnsi="Arial" w:cs="Arial"/>
        <w:sz w:val="20"/>
        <w:szCs w:val="20"/>
      </w:rPr>
      <w:t>©20</w:t>
    </w:r>
    <w:r w:rsidR="0071553F">
      <w:rPr>
        <w:rFonts w:ascii="Arial" w:hAnsi="Arial" w:cs="Arial"/>
        <w:sz w:val="20"/>
        <w:szCs w:val="20"/>
      </w:rPr>
      <w:t xml:space="preserve">20 </w:t>
    </w:r>
    <w:r w:rsidRPr="00D25C2E">
      <w:rPr>
        <w:rFonts w:ascii="Arial" w:hAnsi="Arial" w:cs="Arial"/>
        <w:sz w:val="20"/>
        <w:szCs w:val="20"/>
      </w:rPr>
      <w:t>Kaplan, Inc.</w:t>
    </w:r>
  </w:p>
  <w:p w:rsidR="00DE2E72" w:rsidRPr="00414AE1" w:rsidRDefault="00414AE1" w:rsidP="00414AE1">
    <w:pPr>
      <w:pStyle w:val="Footer"/>
      <w:tabs>
        <w:tab w:val="clear" w:pos="4320"/>
        <w:tab w:val="clear" w:pos="8640"/>
      </w:tabs>
      <w:ind w:firstLine="360"/>
      <w:jc w:val="right"/>
      <w:rPr>
        <w:rFonts w:ascii="Arial" w:hAnsi="Arial" w:cs="Arial"/>
        <w:sz w:val="20"/>
        <w:szCs w:val="20"/>
      </w:rPr>
    </w:pPr>
    <w:r>
      <w:rPr>
        <w:rFonts w:ascii="Arial" w:hAnsi="Arial" w:cs="Arial"/>
        <w:sz w:val="20"/>
        <w:szCs w:val="20"/>
      </w:rPr>
      <w:t>May be reproduced for educational uses only.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CE3" w:rsidRDefault="00E04CE3">
      <w:r>
        <w:separator/>
      </w:r>
    </w:p>
  </w:footnote>
  <w:footnote w:type="continuationSeparator" w:id="0">
    <w:p w:rsidR="00E04CE3" w:rsidRDefault="00E04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74A" w:rsidRPr="0094174A" w:rsidRDefault="006B5A5A" w:rsidP="0094174A">
    <w:pPr>
      <w:pStyle w:val="Header"/>
      <w:jc w:val="right"/>
      <w:rPr>
        <w:rFonts w:ascii="Arial" w:hAnsi="Arial" w:cs="Arial"/>
        <w:i/>
        <w:sz w:val="20"/>
        <w:szCs w:val="20"/>
      </w:rPr>
    </w:pPr>
    <w:r>
      <w:rPr>
        <w:rFonts w:ascii="Arial" w:hAnsi="Arial" w:cs="Arial"/>
        <w:i/>
        <w:sz w:val="20"/>
        <w:szCs w:val="20"/>
      </w:rPr>
      <w:t>California Real Estate Principles 11</w:t>
    </w:r>
    <w:r w:rsidRPr="006B5A5A">
      <w:rPr>
        <w:rFonts w:ascii="Arial" w:hAnsi="Arial" w:cs="Arial"/>
        <w:i/>
        <w:sz w:val="20"/>
        <w:szCs w:val="20"/>
        <w:vertAlign w:val="superscript"/>
      </w:rPr>
      <w:t>th</w:t>
    </w:r>
    <w:r>
      <w:rPr>
        <w:rFonts w:ascii="Arial" w:hAnsi="Arial" w:cs="Arial"/>
        <w:i/>
        <w:sz w:val="20"/>
        <w:szCs w:val="20"/>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742D9"/>
    <w:multiLevelType w:val="hybridMultilevel"/>
    <w:tmpl w:val="C71EE21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7A0"/>
    <w:rsid w:val="0001414A"/>
    <w:rsid w:val="000632A6"/>
    <w:rsid w:val="00097E04"/>
    <w:rsid w:val="000D144B"/>
    <w:rsid w:val="001159C0"/>
    <w:rsid w:val="00173F59"/>
    <w:rsid w:val="001B1E7E"/>
    <w:rsid w:val="00290CA0"/>
    <w:rsid w:val="002B00B8"/>
    <w:rsid w:val="002B6B68"/>
    <w:rsid w:val="00356FB2"/>
    <w:rsid w:val="003D4AB7"/>
    <w:rsid w:val="003F134C"/>
    <w:rsid w:val="00400649"/>
    <w:rsid w:val="004147EB"/>
    <w:rsid w:val="00414AE1"/>
    <w:rsid w:val="0044429C"/>
    <w:rsid w:val="004A05EC"/>
    <w:rsid w:val="004F1FBD"/>
    <w:rsid w:val="005B2E16"/>
    <w:rsid w:val="005B5AB5"/>
    <w:rsid w:val="005B79D6"/>
    <w:rsid w:val="006217A0"/>
    <w:rsid w:val="0068025B"/>
    <w:rsid w:val="006B5A5A"/>
    <w:rsid w:val="00705BF4"/>
    <w:rsid w:val="0071553F"/>
    <w:rsid w:val="007214B0"/>
    <w:rsid w:val="00737190"/>
    <w:rsid w:val="007C0232"/>
    <w:rsid w:val="00927FB5"/>
    <w:rsid w:val="0094174A"/>
    <w:rsid w:val="00961996"/>
    <w:rsid w:val="0099521C"/>
    <w:rsid w:val="00A410F8"/>
    <w:rsid w:val="00A54C6C"/>
    <w:rsid w:val="00AB5671"/>
    <w:rsid w:val="00AD6786"/>
    <w:rsid w:val="00AF33C8"/>
    <w:rsid w:val="00B20D6C"/>
    <w:rsid w:val="00B261C9"/>
    <w:rsid w:val="00B4617B"/>
    <w:rsid w:val="00B635C1"/>
    <w:rsid w:val="00BE186F"/>
    <w:rsid w:val="00BF3FA6"/>
    <w:rsid w:val="00D00B2E"/>
    <w:rsid w:val="00D15438"/>
    <w:rsid w:val="00D70BAC"/>
    <w:rsid w:val="00D776C7"/>
    <w:rsid w:val="00D815DC"/>
    <w:rsid w:val="00DE2E72"/>
    <w:rsid w:val="00E04CE3"/>
    <w:rsid w:val="00E5230A"/>
    <w:rsid w:val="00E76CEE"/>
    <w:rsid w:val="00E9614D"/>
    <w:rsid w:val="00EF5DF7"/>
    <w:rsid w:val="00F000E2"/>
    <w:rsid w:val="00F3307B"/>
    <w:rsid w:val="00F7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A7DFB"/>
  <w15:docId w15:val="{EC3B7AD7-A604-4074-A96C-B9DE25DB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EE"/>
    <w:rPr>
      <w:rFonts w:ascii="Century Schoolbook" w:hAnsi="Century Schoolbook"/>
      <w:sz w:val="24"/>
      <w:szCs w:val="24"/>
    </w:rPr>
  </w:style>
  <w:style w:type="paragraph" w:styleId="Heading1">
    <w:name w:val="heading 1"/>
    <w:basedOn w:val="Normal"/>
    <w:next w:val="Normal"/>
    <w:qFormat/>
    <w:rsid w:val="00E76CE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46113"/>
    <w:pPr>
      <w:tabs>
        <w:tab w:val="center" w:pos="4320"/>
        <w:tab w:val="right" w:pos="8640"/>
      </w:tabs>
    </w:pPr>
  </w:style>
  <w:style w:type="character" w:styleId="PageNumber">
    <w:name w:val="page number"/>
    <w:basedOn w:val="DefaultParagraphFont"/>
    <w:rsid w:val="00346113"/>
  </w:style>
  <w:style w:type="paragraph" w:styleId="Header">
    <w:name w:val="header"/>
    <w:basedOn w:val="Normal"/>
    <w:rsid w:val="009B7141"/>
    <w:pPr>
      <w:tabs>
        <w:tab w:val="center" w:pos="4320"/>
        <w:tab w:val="right" w:pos="8640"/>
      </w:tabs>
    </w:pPr>
  </w:style>
  <w:style w:type="paragraph" w:styleId="BalloonText">
    <w:name w:val="Balloon Text"/>
    <w:basedOn w:val="Normal"/>
    <w:semiHidden/>
    <w:rsid w:val="00D142A8"/>
    <w:rPr>
      <w:rFonts w:ascii="Tahoma" w:hAnsi="Tahoma" w:cs="Tahoma"/>
      <w:sz w:val="16"/>
      <w:szCs w:val="16"/>
    </w:rPr>
  </w:style>
  <w:style w:type="paragraph" w:customStyle="1" w:styleId="Default">
    <w:name w:val="Default"/>
    <w:rsid w:val="007C0232"/>
    <w:pPr>
      <w:widowControl w:val="0"/>
      <w:autoSpaceDE w:val="0"/>
      <w:autoSpaceDN w:val="0"/>
      <w:adjustRightInd w:val="0"/>
    </w:pPr>
    <w:rPr>
      <w:rFonts w:ascii="Helvetica" w:hAnsi="Helvetica"/>
      <w:color w:val="000000"/>
      <w:sz w:val="24"/>
      <w:szCs w:val="24"/>
    </w:rPr>
  </w:style>
  <w:style w:type="paragraph" w:customStyle="1" w:styleId="CM16">
    <w:name w:val="CM16"/>
    <w:basedOn w:val="Default"/>
    <w:next w:val="Default"/>
    <w:rsid w:val="007C0232"/>
    <w:pPr>
      <w:spacing w:after="273"/>
    </w:pPr>
    <w:rPr>
      <w:rFonts w:ascii="Times New Roman" w:hAnsi="Times New Roman"/>
      <w:color w:val="auto"/>
    </w:rPr>
  </w:style>
  <w:style w:type="paragraph" w:customStyle="1" w:styleId="CM7">
    <w:name w:val="CM7"/>
    <w:basedOn w:val="Normal"/>
    <w:next w:val="Normal"/>
    <w:rsid w:val="001159C0"/>
    <w:pPr>
      <w:widowControl w:val="0"/>
      <w:autoSpaceDE w:val="0"/>
      <w:autoSpaceDN w:val="0"/>
      <w:adjustRightInd w:val="0"/>
    </w:pPr>
    <w:rPr>
      <w:rFonts w:ascii="BJNPA B+ Palatino" w:eastAsia="Calibri" w:hAnsi="BJNPA B+ Palatino"/>
    </w:rPr>
  </w:style>
  <w:style w:type="character" w:customStyle="1" w:styleId="FooterChar">
    <w:name w:val="Footer Char"/>
    <w:basedOn w:val="DefaultParagraphFont"/>
    <w:link w:val="Footer"/>
    <w:rsid w:val="00414AE1"/>
    <w:rPr>
      <w:rFonts w:ascii="Century Schoolbook" w:hAnsi="Century Schoolbook"/>
      <w:sz w:val="24"/>
      <w:szCs w:val="24"/>
    </w:rPr>
  </w:style>
  <w:style w:type="paragraph" w:customStyle="1" w:styleId="Pa31">
    <w:name w:val="Pa31"/>
    <w:basedOn w:val="Default"/>
    <w:next w:val="Default"/>
    <w:uiPriority w:val="99"/>
    <w:rsid w:val="00B20D6C"/>
    <w:pPr>
      <w:widowControl/>
      <w:spacing w:line="221" w:lineRule="atLeast"/>
    </w:pPr>
    <w:rPr>
      <w:rFonts w:ascii="Goudy Oldstyle Std" w:hAnsi="Goudy Oldstyle Std"/>
      <w:color w:val="auto"/>
    </w:rPr>
  </w:style>
  <w:style w:type="character" w:customStyle="1" w:styleId="A9">
    <w:name w:val="A9"/>
    <w:uiPriority w:val="99"/>
    <w:rsid w:val="00B20D6C"/>
    <w:rPr>
      <w:rFonts w:cs="Goudy Oldstyle Std"/>
      <w:color w:val="211D1E"/>
      <w:sz w:val="22"/>
      <w:szCs w:val="22"/>
    </w:rPr>
  </w:style>
  <w:style w:type="paragraph" w:customStyle="1" w:styleId="Pa20">
    <w:name w:val="Pa20"/>
    <w:basedOn w:val="Default"/>
    <w:next w:val="Default"/>
    <w:uiPriority w:val="99"/>
    <w:rsid w:val="00290CA0"/>
    <w:pPr>
      <w:widowControl/>
      <w:spacing w:line="171" w:lineRule="atLeast"/>
    </w:pPr>
    <w:rPr>
      <w:rFonts w:ascii="Helvetica LT Std Light" w:hAnsi="Helvetica LT Std Ligh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048702">
      <w:bodyDiv w:val="1"/>
      <w:marLeft w:val="0"/>
      <w:marRight w:val="0"/>
      <w:marTop w:val="0"/>
      <w:marBottom w:val="0"/>
      <w:divBdr>
        <w:top w:val="none" w:sz="0" w:space="0" w:color="auto"/>
        <w:left w:val="none" w:sz="0" w:space="0" w:color="auto"/>
        <w:bottom w:val="none" w:sz="0" w:space="0" w:color="auto"/>
        <w:right w:val="none" w:sz="0" w:space="0" w:color="auto"/>
      </w:divBdr>
    </w:div>
    <w:div w:id="188914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983</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Kaplan Professional Education</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Kugler</dc:creator>
  <cp:lastModifiedBy>Katherine Bourgeois</cp:lastModifiedBy>
  <cp:revision>7</cp:revision>
  <cp:lastPrinted>2006-08-18T16:15:00Z</cp:lastPrinted>
  <dcterms:created xsi:type="dcterms:W3CDTF">2022-01-13T15:23:00Z</dcterms:created>
  <dcterms:modified xsi:type="dcterms:W3CDTF">2023-02-07T16:44:00Z</dcterms:modified>
</cp:coreProperties>
</file>