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8F2596" w:rsidRPr="008F2596">
        <w:rPr>
          <w:rFonts w:ascii="Times New Roman" w:hAnsi="Times New Roman"/>
          <w:i/>
        </w:rPr>
        <w:t>Florida Real Estate Principles, Practice, and Law 45th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8F2596" w:rsidRPr="008F2596" w:rsidRDefault="008F2596" w:rsidP="008F2596">
            <w:pPr>
              <w:tabs>
                <w:tab w:val="left" w:pos="1800"/>
              </w:tabs>
              <w:autoSpaceDE w:val="0"/>
              <w:autoSpaceDN w:val="0"/>
              <w:adjustRightInd w:val="0"/>
              <w:rPr>
                <w:rFonts w:ascii="Times New Roman" w:hAnsi="Times New Roman"/>
              </w:rPr>
            </w:pPr>
            <w:r w:rsidRPr="008F2596">
              <w:rPr>
                <w:rFonts w:ascii="Times New Roman" w:hAnsi="Times New Roman"/>
              </w:rPr>
              <w:t>Pg. 54, Unit 3, legal</w:t>
            </w:r>
          </w:p>
          <w:p w:rsidR="00B261C9" w:rsidRPr="00AF33C8" w:rsidRDefault="008F2596" w:rsidP="008F2596">
            <w:pPr>
              <w:tabs>
                <w:tab w:val="left" w:pos="1800"/>
              </w:tabs>
              <w:autoSpaceDE w:val="0"/>
              <w:autoSpaceDN w:val="0"/>
              <w:adjustRightInd w:val="0"/>
              <w:rPr>
                <w:rFonts w:ascii="Times New Roman" w:hAnsi="Times New Roman"/>
              </w:rPr>
            </w:pPr>
            <w:r w:rsidRPr="008F2596">
              <w:rPr>
                <w:rFonts w:ascii="Times New Roman" w:hAnsi="Times New Roman"/>
              </w:rPr>
              <w:t>reference, line 38</w:t>
            </w:r>
          </w:p>
        </w:tc>
        <w:tc>
          <w:tcPr>
            <w:tcW w:w="3280" w:type="dxa"/>
          </w:tcPr>
          <w:p w:rsidR="00B261C9" w:rsidRPr="00AF33C8" w:rsidRDefault="008F2596" w:rsidP="00C26D47">
            <w:pPr>
              <w:rPr>
                <w:rFonts w:ascii="Times New Roman" w:hAnsi="Times New Roman"/>
              </w:rPr>
            </w:pPr>
            <w:r w:rsidRPr="008F2596">
              <w:rPr>
                <w:rFonts w:ascii="Times New Roman" w:hAnsi="Times New Roman"/>
              </w:rPr>
              <w:t>61J2-24.002(z)</w:t>
            </w:r>
          </w:p>
        </w:tc>
        <w:tc>
          <w:tcPr>
            <w:tcW w:w="3270" w:type="dxa"/>
          </w:tcPr>
          <w:p w:rsidR="00B261C9" w:rsidRPr="00AF33C8" w:rsidRDefault="008F2596" w:rsidP="00C26D47">
            <w:pPr>
              <w:tabs>
                <w:tab w:val="left" w:pos="1800"/>
              </w:tabs>
              <w:autoSpaceDE w:val="0"/>
              <w:autoSpaceDN w:val="0"/>
              <w:adjustRightInd w:val="0"/>
              <w:rPr>
                <w:rFonts w:ascii="Times New Roman" w:hAnsi="Times New Roman"/>
              </w:rPr>
            </w:pPr>
            <w:r w:rsidRPr="008F2596">
              <w:rPr>
                <w:rFonts w:ascii="Times New Roman" w:hAnsi="Times New Roman"/>
              </w:rPr>
              <w:t>61J2-24.002(aa)</w:t>
            </w:r>
          </w:p>
        </w:tc>
      </w:tr>
      <w:tr w:rsidR="00B20D6C" w:rsidRPr="00B261C9" w:rsidTr="00B20D6C">
        <w:trPr>
          <w:trHeight w:val="150"/>
          <w:jc w:val="center"/>
        </w:trPr>
        <w:tc>
          <w:tcPr>
            <w:tcW w:w="3439" w:type="dxa"/>
          </w:tcPr>
          <w:p w:rsidR="008F2596" w:rsidRPr="008F2596" w:rsidRDefault="008F2596" w:rsidP="008F2596">
            <w:pPr>
              <w:tabs>
                <w:tab w:val="left" w:pos="1800"/>
              </w:tabs>
              <w:autoSpaceDE w:val="0"/>
              <w:autoSpaceDN w:val="0"/>
              <w:adjustRightInd w:val="0"/>
              <w:rPr>
                <w:rFonts w:ascii="Times New Roman" w:hAnsi="Times New Roman"/>
              </w:rPr>
            </w:pPr>
            <w:r w:rsidRPr="008F2596">
              <w:rPr>
                <w:rFonts w:ascii="Times New Roman" w:hAnsi="Times New Roman"/>
              </w:rPr>
              <w:t>Pg. 78, Unit 4, PQ</w:t>
            </w:r>
          </w:p>
          <w:p w:rsidR="00B20D6C" w:rsidRPr="00B20D6C" w:rsidRDefault="008F2596" w:rsidP="008F2596">
            <w:pPr>
              <w:tabs>
                <w:tab w:val="left" w:pos="1800"/>
              </w:tabs>
              <w:autoSpaceDE w:val="0"/>
              <w:autoSpaceDN w:val="0"/>
              <w:adjustRightInd w:val="0"/>
              <w:rPr>
                <w:rFonts w:ascii="Times New Roman" w:hAnsi="Times New Roman"/>
              </w:rPr>
            </w:pPr>
            <w:r w:rsidRPr="008F2596">
              <w:rPr>
                <w:rFonts w:ascii="Times New Roman" w:hAnsi="Times New Roman"/>
              </w:rPr>
              <w:t>20</w:t>
            </w:r>
          </w:p>
        </w:tc>
        <w:tc>
          <w:tcPr>
            <w:tcW w:w="3280" w:type="dxa"/>
          </w:tcPr>
          <w:p w:rsidR="00B20D6C" w:rsidRPr="00B20D6C" w:rsidRDefault="008F2596" w:rsidP="00B20D6C">
            <w:pPr>
              <w:tabs>
                <w:tab w:val="left" w:pos="1800"/>
              </w:tabs>
              <w:autoSpaceDE w:val="0"/>
              <w:autoSpaceDN w:val="0"/>
              <w:adjustRightInd w:val="0"/>
              <w:rPr>
                <w:rFonts w:ascii="Times New Roman" w:hAnsi="Times New Roman"/>
              </w:rPr>
            </w:pPr>
            <w:r>
              <w:rPr>
                <w:rFonts w:ascii="Times New Roman" w:hAnsi="Times New Roman"/>
              </w:rPr>
              <w:t>residential transaction</w:t>
            </w:r>
          </w:p>
        </w:tc>
        <w:tc>
          <w:tcPr>
            <w:tcW w:w="3270" w:type="dxa"/>
          </w:tcPr>
          <w:p w:rsidR="008F2596" w:rsidRPr="00B20D6C" w:rsidRDefault="008F2596" w:rsidP="00B20D6C">
            <w:pPr>
              <w:tabs>
                <w:tab w:val="left" w:pos="1800"/>
              </w:tabs>
              <w:autoSpaceDE w:val="0"/>
              <w:autoSpaceDN w:val="0"/>
              <w:adjustRightInd w:val="0"/>
              <w:rPr>
                <w:rFonts w:ascii="Times New Roman" w:hAnsi="Times New Roman"/>
              </w:rPr>
            </w:pPr>
            <w:r>
              <w:rPr>
                <w:rFonts w:ascii="Times New Roman" w:hAnsi="Times New Roman"/>
              </w:rPr>
              <w:t>residential sale transaction</w:t>
            </w:r>
          </w:p>
        </w:tc>
      </w:tr>
      <w:tr w:rsidR="008F2596" w:rsidRPr="00B261C9" w:rsidTr="00B20D6C">
        <w:trPr>
          <w:trHeight w:val="150"/>
          <w:jc w:val="center"/>
        </w:trPr>
        <w:tc>
          <w:tcPr>
            <w:tcW w:w="3439" w:type="dxa"/>
          </w:tcPr>
          <w:p w:rsidR="008F2596" w:rsidRPr="008F2596" w:rsidRDefault="008F2596" w:rsidP="008F2596">
            <w:pPr>
              <w:tabs>
                <w:tab w:val="left" w:pos="1800"/>
              </w:tabs>
              <w:autoSpaceDE w:val="0"/>
              <w:autoSpaceDN w:val="0"/>
              <w:adjustRightInd w:val="0"/>
              <w:rPr>
                <w:rFonts w:ascii="Times New Roman" w:hAnsi="Times New Roman"/>
              </w:rPr>
            </w:pPr>
            <w:r>
              <w:rPr>
                <w:rFonts w:ascii="Times New Roman" w:hAnsi="Times New Roman"/>
              </w:rPr>
              <w:t>Pg. 490, Unit 2, PQ 11</w:t>
            </w:r>
          </w:p>
        </w:tc>
        <w:tc>
          <w:tcPr>
            <w:tcW w:w="3280" w:type="dxa"/>
          </w:tcPr>
          <w:p w:rsidR="008F2596" w:rsidRDefault="008F2596" w:rsidP="00B20D6C">
            <w:pPr>
              <w:tabs>
                <w:tab w:val="left" w:pos="1800"/>
              </w:tabs>
              <w:autoSpaceDE w:val="0"/>
              <w:autoSpaceDN w:val="0"/>
              <w:adjustRightInd w:val="0"/>
              <w:rPr>
                <w:rFonts w:ascii="Times New Roman" w:hAnsi="Times New Roman"/>
              </w:rPr>
            </w:pPr>
            <w:r>
              <w:rPr>
                <w:rFonts w:ascii="Times New Roman" w:hAnsi="Times New Roman"/>
              </w:rPr>
              <w:t>a, c</w:t>
            </w:r>
          </w:p>
        </w:tc>
        <w:tc>
          <w:tcPr>
            <w:tcW w:w="3270" w:type="dxa"/>
          </w:tcPr>
          <w:p w:rsidR="008F2596" w:rsidRDefault="008F2596" w:rsidP="00B20D6C">
            <w:pPr>
              <w:tabs>
                <w:tab w:val="left" w:pos="1800"/>
              </w:tabs>
              <w:autoSpaceDE w:val="0"/>
              <w:autoSpaceDN w:val="0"/>
              <w:adjustRightInd w:val="0"/>
              <w:rPr>
                <w:rFonts w:ascii="Times New Roman" w:hAnsi="Times New Roman"/>
              </w:rPr>
            </w:pPr>
            <w:r>
              <w:rPr>
                <w:rFonts w:ascii="Times New Roman" w:hAnsi="Times New Roman"/>
              </w:rPr>
              <w:t>Attorneys, Florida Bar</w:t>
            </w:r>
          </w:p>
        </w:tc>
      </w:tr>
    </w:tbl>
    <w:p w:rsidR="00173F59" w:rsidRDefault="00173F59" w:rsidP="00B261C9">
      <w:pPr>
        <w:tabs>
          <w:tab w:val="left" w:pos="1800"/>
        </w:tabs>
        <w:autoSpaceDE w:val="0"/>
        <w:autoSpaceDN w:val="0"/>
        <w:adjustRightInd w:val="0"/>
        <w:rPr>
          <w:rFonts w:ascii="Times New Roman" w:hAnsi="Times New Roman"/>
        </w:rPr>
      </w:pPr>
    </w:p>
    <w:p w:rsidR="000F03D5" w:rsidRDefault="000F03D5" w:rsidP="000F03D5">
      <w:pPr>
        <w:jc w:val="center"/>
      </w:pPr>
      <w:r>
        <w:t>IMPORTANT: ADDITIONAL HOMESTEAD EXEMPTION INFORMATION CONCERNING FLORIDA REAL ESTATE PRINCIPLES, PRACTICES, AND LAW 45E</w:t>
      </w:r>
    </w:p>
    <w:p w:rsidR="000F03D5" w:rsidRDefault="000F03D5" w:rsidP="000F03D5"/>
    <w:p w:rsidR="000F03D5" w:rsidRDefault="000F03D5" w:rsidP="000F03D5">
      <w:pPr>
        <w:jc w:val="both"/>
        <w:rPr>
          <w:rFonts w:cstheme="minorHAnsi"/>
        </w:rPr>
      </w:pPr>
      <w:r w:rsidRPr="00EA25FC">
        <w:rPr>
          <w:rFonts w:cstheme="minorHAnsi"/>
        </w:rPr>
        <w:t>In the 2022 Florida Legislative session, lawmakers passed changes to the additional homestead tax exemptions for the blind, disabled nonveterans, and surviving spouses who have not remarried</w:t>
      </w:r>
      <w:r>
        <w:rPr>
          <w:rFonts w:cstheme="minorHAnsi"/>
        </w:rPr>
        <w:t xml:space="preserve"> that will start with the </w:t>
      </w:r>
      <w:r w:rsidRPr="00EA25FC">
        <w:rPr>
          <w:rFonts w:cstheme="minorHAnsi"/>
        </w:rPr>
        <w:t xml:space="preserve">2023 Ad Valorem Tax bill. We recommend </w:t>
      </w:r>
      <w:r>
        <w:rPr>
          <w:rFonts w:cstheme="minorHAnsi"/>
        </w:rPr>
        <w:t xml:space="preserve">that </w:t>
      </w:r>
      <w:r w:rsidRPr="00EA25FC">
        <w:rPr>
          <w:rFonts w:cstheme="minorHAnsi"/>
        </w:rPr>
        <w:t>students</w:t>
      </w:r>
      <w:r>
        <w:rPr>
          <w:rFonts w:cstheme="minorHAnsi"/>
        </w:rPr>
        <w:t xml:space="preserve"> calculate exemptions using both</w:t>
      </w:r>
      <w:r w:rsidRPr="00EA25FC">
        <w:rPr>
          <w:rFonts w:cstheme="minorHAnsi"/>
        </w:rPr>
        <w:t xml:space="preserve"> new </w:t>
      </w:r>
      <w:r>
        <w:rPr>
          <w:rFonts w:cstheme="minorHAnsi"/>
        </w:rPr>
        <w:t>a</w:t>
      </w:r>
      <w:r w:rsidRPr="00EA25FC">
        <w:rPr>
          <w:rFonts w:cstheme="minorHAnsi"/>
        </w:rPr>
        <w:t xml:space="preserve">nd </w:t>
      </w:r>
      <w:r>
        <w:rPr>
          <w:rFonts w:cstheme="minorHAnsi"/>
        </w:rPr>
        <w:t xml:space="preserve">old amounts.  </w:t>
      </w:r>
      <w:r w:rsidRPr="009C797E">
        <w:rPr>
          <w:rFonts w:cstheme="minorHAnsi"/>
          <w:b/>
        </w:rPr>
        <w:t>The end-of-course exam will reflect the old calculations; however, the state exam will likely use the new $5,000 amount</w:t>
      </w:r>
      <w:r w:rsidRPr="00EA25FC">
        <w:rPr>
          <w:rFonts w:cstheme="minorHAnsi"/>
        </w:rPr>
        <w:t xml:space="preserve"> </w:t>
      </w:r>
      <w:r>
        <w:rPr>
          <w:rFonts w:cstheme="minorHAnsi"/>
        </w:rPr>
        <w:t>Below will show the changes in red for the pages in the 45</w:t>
      </w:r>
      <w:r w:rsidRPr="00194420">
        <w:rPr>
          <w:rFonts w:cstheme="minorHAnsi"/>
          <w:vertAlign w:val="superscript"/>
        </w:rPr>
        <w:t>th</w:t>
      </w:r>
      <w:r>
        <w:rPr>
          <w:rFonts w:cstheme="minorHAnsi"/>
        </w:rPr>
        <w:t xml:space="preserve"> edition of PPL for sales associates.</w:t>
      </w:r>
    </w:p>
    <w:p w:rsidR="000F03D5" w:rsidRDefault="000F03D5" w:rsidP="000F03D5">
      <w:pPr>
        <w:jc w:val="both"/>
        <w:rPr>
          <w:rFonts w:cstheme="minorHAnsi"/>
        </w:rPr>
      </w:pPr>
    </w:p>
    <w:p w:rsidR="000F03D5" w:rsidRPr="00EA25FC" w:rsidRDefault="000F03D5" w:rsidP="000F03D5">
      <w:pPr>
        <w:jc w:val="both"/>
        <w:rPr>
          <w:rFonts w:cstheme="minorHAnsi"/>
        </w:rPr>
      </w:pPr>
      <w:r w:rsidRPr="00EA25FC">
        <w:rPr>
          <w:rFonts w:cstheme="minorHAnsi"/>
        </w:rPr>
        <w:lastRenderedPageBreak/>
        <w:t>Unit 18</w:t>
      </w:r>
      <w:r>
        <w:rPr>
          <w:rFonts w:cstheme="minorHAnsi"/>
        </w:rPr>
        <w:t>:</w:t>
      </w:r>
      <w:r w:rsidRPr="00EA25FC">
        <w:rPr>
          <w:rFonts w:cstheme="minorHAnsi"/>
        </w:rPr>
        <w:t xml:space="preserve"> Taxes Affecting Real Estate; page 410 (lines </w:t>
      </w:r>
      <w:r>
        <w:rPr>
          <w:rFonts w:cstheme="minorHAnsi"/>
        </w:rPr>
        <w:t>17</w:t>
      </w:r>
      <w:r w:rsidRPr="00EA25FC">
        <w:rPr>
          <w:rFonts w:cstheme="minorHAnsi"/>
        </w:rPr>
        <w:t>-</w:t>
      </w:r>
      <w:r>
        <w:rPr>
          <w:rFonts w:cstheme="minorHAnsi"/>
        </w:rPr>
        <w:t>19</w:t>
      </w:r>
      <w:r w:rsidRPr="00EA25FC">
        <w:rPr>
          <w:rFonts w:cstheme="minorHAnsi"/>
        </w:rPr>
        <w:t>) thru page 41</w:t>
      </w:r>
      <w:r>
        <w:rPr>
          <w:rFonts w:cstheme="minorHAnsi"/>
        </w:rPr>
        <w:t>0</w:t>
      </w:r>
      <w:r w:rsidRPr="00EA25FC">
        <w:rPr>
          <w:rFonts w:cstheme="minorHAnsi"/>
        </w:rPr>
        <w:t xml:space="preserve"> (figure 18.3)</w:t>
      </w:r>
      <w:r>
        <w:rPr>
          <w:rFonts w:cstheme="minorHAnsi"/>
        </w:rPr>
        <w:t xml:space="preserve"> and examples</w:t>
      </w:r>
    </w:p>
    <w:p w:rsidR="000F03D5" w:rsidRPr="00EA25FC" w:rsidRDefault="000F03D5" w:rsidP="000F03D5">
      <w:pPr>
        <w:jc w:val="both"/>
        <w:rPr>
          <w:rFonts w:cstheme="minorHAnsi"/>
        </w:rPr>
      </w:pPr>
    </w:p>
    <w:p w:rsidR="000F03D5" w:rsidRPr="00EA25FC" w:rsidRDefault="000F03D5" w:rsidP="000F03D5">
      <w:pPr>
        <w:jc w:val="both"/>
        <w:rPr>
          <w:rFonts w:cstheme="minorHAnsi"/>
        </w:rPr>
      </w:pPr>
      <w:r w:rsidRPr="00EA25FC">
        <w:rPr>
          <w:rFonts w:cstheme="minorHAnsi"/>
          <w:b/>
          <w:bCs/>
        </w:rPr>
        <w:t xml:space="preserve">Additional Homestead Tax Exemptions. </w:t>
      </w:r>
      <w:r w:rsidRPr="00EA25FC">
        <w:rPr>
          <w:rFonts w:cstheme="minorHAnsi"/>
        </w:rPr>
        <w:t xml:space="preserve">Florida law provides certain additional exemptions </w:t>
      </w:r>
    </w:p>
    <w:p w:rsidR="000F03D5" w:rsidRPr="00EA25FC" w:rsidRDefault="000F03D5" w:rsidP="000F03D5">
      <w:pPr>
        <w:jc w:val="both"/>
        <w:rPr>
          <w:rFonts w:cstheme="minorHAnsi"/>
        </w:rPr>
      </w:pPr>
      <w:r w:rsidRPr="00EA25FC">
        <w:rPr>
          <w:rFonts w:cstheme="minorHAnsi"/>
        </w:rPr>
        <w:t>from the assessed value of homesteaded property (see Figure 18.</w:t>
      </w:r>
      <w:r>
        <w:rPr>
          <w:rFonts w:cstheme="minorHAnsi"/>
        </w:rPr>
        <w:t>3</w:t>
      </w:r>
      <w:r w:rsidRPr="00EA25FC">
        <w:rPr>
          <w:rFonts w:cstheme="minorHAnsi"/>
        </w:rPr>
        <w:t>). Florida statute</w:t>
      </w:r>
    </w:p>
    <w:p w:rsidR="000F03D5" w:rsidRPr="00EA25FC" w:rsidRDefault="000F03D5" w:rsidP="000F03D5">
      <w:pPr>
        <w:jc w:val="both"/>
        <w:rPr>
          <w:rFonts w:cstheme="minorHAnsi"/>
        </w:rPr>
      </w:pPr>
      <w:r w:rsidRPr="00EA25FC">
        <w:rPr>
          <w:rFonts w:cstheme="minorHAnsi"/>
        </w:rPr>
        <w:t xml:space="preserve">dictates what proof must be submitted to qualify for the additional exemptions. </w:t>
      </w:r>
    </w:p>
    <w:p w:rsidR="000F03D5" w:rsidRPr="00EA25FC" w:rsidRDefault="000F03D5" w:rsidP="000F03D5">
      <w:pPr>
        <w:jc w:val="both"/>
        <w:rPr>
          <w:rFonts w:cstheme="minorHAnsi"/>
        </w:rPr>
      </w:pPr>
    </w:p>
    <w:p w:rsidR="000F03D5" w:rsidRPr="00EA25FC" w:rsidRDefault="000F03D5" w:rsidP="000F03D5">
      <w:pPr>
        <w:autoSpaceDE w:val="0"/>
        <w:autoSpaceDN w:val="0"/>
        <w:adjustRightInd w:val="0"/>
        <w:jc w:val="both"/>
        <w:rPr>
          <w:rFonts w:cstheme="minorHAnsi"/>
          <w:b/>
          <w:bCs/>
          <w:color w:val="000000"/>
        </w:rPr>
      </w:pPr>
      <w:r w:rsidRPr="00EA25FC">
        <w:rPr>
          <w:rFonts w:cstheme="minorHAnsi"/>
          <w:b/>
          <w:bCs/>
          <w:color w:val="000000"/>
        </w:rPr>
        <w:t>F I G U R E 1 8.</w:t>
      </w:r>
      <w:r>
        <w:rPr>
          <w:rFonts w:cstheme="minorHAnsi"/>
          <w:b/>
          <w:bCs/>
          <w:color w:val="000000"/>
        </w:rPr>
        <w:t>3</w:t>
      </w:r>
      <w:r w:rsidRPr="00EA25FC">
        <w:rPr>
          <w:rFonts w:cstheme="minorHAnsi"/>
          <w:b/>
          <w:bCs/>
          <w:color w:val="000000"/>
        </w:rPr>
        <w:t xml:space="preserve"> </w:t>
      </w:r>
      <w:r w:rsidRPr="00EA25FC">
        <w:rPr>
          <w:rFonts w:ascii="Arial" w:eastAsia="ZapfDingbatsStd" w:hAnsi="Arial" w:cs="Arial"/>
          <w:color w:val="404040"/>
        </w:rPr>
        <w:t>■</w:t>
      </w:r>
      <w:r w:rsidRPr="00EA25FC">
        <w:rPr>
          <w:rFonts w:eastAsia="ZapfDingbatsStd" w:cstheme="minorHAnsi"/>
          <w:color w:val="404040"/>
        </w:rPr>
        <w:t xml:space="preserve"> </w:t>
      </w:r>
      <w:r w:rsidRPr="00EA25FC">
        <w:rPr>
          <w:rFonts w:cstheme="minorHAnsi"/>
          <w:b/>
          <w:bCs/>
          <w:color w:val="000000"/>
        </w:rPr>
        <w:t>Homesteaded Property Special Exemptions</w:t>
      </w:r>
    </w:p>
    <w:p w:rsidR="000F03D5" w:rsidRPr="00EA25FC" w:rsidRDefault="000F03D5" w:rsidP="000F03D5">
      <w:pPr>
        <w:autoSpaceDE w:val="0"/>
        <w:autoSpaceDN w:val="0"/>
        <w:adjustRightInd w:val="0"/>
        <w:jc w:val="both"/>
        <w:rPr>
          <w:rFonts w:cstheme="minorHAnsi"/>
          <w:b/>
          <w:bCs/>
          <w:color w:val="000000"/>
        </w:rPr>
      </w:pPr>
      <w:r w:rsidRPr="00EA25FC">
        <w:rPr>
          <w:rFonts w:cstheme="minorHAnsi"/>
          <w:b/>
          <w:bCs/>
          <w:color w:val="000000"/>
        </w:rPr>
        <w:t xml:space="preserve">Additional Exemption on Homestead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EA25FC">
        <w:rPr>
          <w:rFonts w:cstheme="minorHAnsi"/>
          <w:b/>
          <w:bCs/>
          <w:color w:val="000000"/>
        </w:rPr>
        <w:t>Additional Amount Deducted From</w:t>
      </w:r>
    </w:p>
    <w:p w:rsidR="000F03D5" w:rsidRPr="00EA25FC" w:rsidRDefault="000F03D5" w:rsidP="000F03D5">
      <w:pPr>
        <w:autoSpaceDE w:val="0"/>
        <w:autoSpaceDN w:val="0"/>
        <w:adjustRightInd w:val="0"/>
        <w:jc w:val="both"/>
        <w:rPr>
          <w:rFonts w:cstheme="minorHAnsi"/>
          <w:b/>
          <w:bCs/>
          <w:color w:val="000000"/>
        </w:rPr>
      </w:pPr>
      <w:r w:rsidRPr="00EA25FC">
        <w:rPr>
          <w:rFonts w:cstheme="minorHAnsi"/>
          <w:b/>
          <w:bCs/>
          <w:color w:val="000000"/>
        </w:rPr>
        <w:t>Assessed Value</w:t>
      </w:r>
    </w:p>
    <w:p w:rsidR="000F03D5" w:rsidRPr="007F5AFA" w:rsidRDefault="000F03D5" w:rsidP="000F03D5">
      <w:pPr>
        <w:autoSpaceDE w:val="0"/>
        <w:autoSpaceDN w:val="0"/>
        <w:adjustRightInd w:val="0"/>
        <w:jc w:val="both"/>
        <w:rPr>
          <w:rFonts w:cstheme="minorHAnsi"/>
          <w:color w:val="FF0000"/>
        </w:rPr>
      </w:pPr>
      <w:r w:rsidRPr="00EA25FC">
        <w:rPr>
          <w:rFonts w:cstheme="minorHAnsi"/>
          <w:color w:val="000000"/>
        </w:rPr>
        <w:t xml:space="preserve">Surviving spouse who has not remarried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EA25FC">
        <w:rPr>
          <w:rFonts w:cstheme="minorHAnsi"/>
          <w:color w:val="000000"/>
        </w:rPr>
        <w:t>$500</w:t>
      </w:r>
      <w:r>
        <w:rPr>
          <w:rFonts w:cstheme="minorHAnsi"/>
          <w:color w:val="000000"/>
        </w:rPr>
        <w:t xml:space="preserve"> </w:t>
      </w:r>
      <w:r>
        <w:rPr>
          <w:rFonts w:cstheme="minorHAnsi"/>
          <w:color w:val="FF0000"/>
        </w:rPr>
        <w:t>changes to $5,000 January 1, 2023</w:t>
      </w:r>
    </w:p>
    <w:p w:rsidR="000F03D5" w:rsidRPr="007F5AFA" w:rsidRDefault="000F03D5" w:rsidP="000F03D5">
      <w:pPr>
        <w:autoSpaceDE w:val="0"/>
        <w:autoSpaceDN w:val="0"/>
        <w:adjustRightInd w:val="0"/>
        <w:jc w:val="both"/>
        <w:rPr>
          <w:rFonts w:cstheme="minorHAnsi"/>
          <w:color w:val="FF0000"/>
        </w:rPr>
      </w:pPr>
      <w:r w:rsidRPr="00EA25FC">
        <w:rPr>
          <w:rFonts w:cstheme="minorHAnsi"/>
          <w:color w:val="000000"/>
        </w:rPr>
        <w:t xml:space="preserve">Blind person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EA25FC">
        <w:rPr>
          <w:rFonts w:cstheme="minorHAnsi"/>
          <w:color w:val="000000"/>
        </w:rPr>
        <w:t>$500</w:t>
      </w:r>
      <w:r>
        <w:rPr>
          <w:rFonts w:cstheme="minorHAnsi"/>
          <w:color w:val="000000"/>
        </w:rPr>
        <w:t xml:space="preserve"> </w:t>
      </w:r>
      <w:r>
        <w:rPr>
          <w:rFonts w:cstheme="minorHAnsi"/>
          <w:color w:val="FF0000"/>
        </w:rPr>
        <w:t>changes to $5,000 January 1, 2023</w:t>
      </w:r>
    </w:p>
    <w:p w:rsidR="000F03D5" w:rsidRPr="007F5AFA" w:rsidRDefault="000F03D5" w:rsidP="000F03D5">
      <w:pPr>
        <w:autoSpaceDE w:val="0"/>
        <w:autoSpaceDN w:val="0"/>
        <w:adjustRightInd w:val="0"/>
        <w:jc w:val="both"/>
        <w:rPr>
          <w:rFonts w:cstheme="minorHAnsi"/>
          <w:color w:val="FF0000"/>
        </w:rPr>
      </w:pPr>
      <w:r w:rsidRPr="00EA25FC">
        <w:rPr>
          <w:rFonts w:cstheme="minorHAnsi"/>
          <w:color w:val="000000"/>
        </w:rPr>
        <w:t xml:space="preserve">Totally and permanently disabled nonveteran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EA25FC">
        <w:rPr>
          <w:rFonts w:cstheme="minorHAnsi"/>
          <w:color w:val="000000"/>
        </w:rPr>
        <w:t>$500</w:t>
      </w:r>
      <w:r>
        <w:rPr>
          <w:rFonts w:cstheme="minorHAnsi"/>
          <w:color w:val="000000"/>
        </w:rPr>
        <w:t xml:space="preserve"> </w:t>
      </w:r>
      <w:r>
        <w:rPr>
          <w:rFonts w:cstheme="minorHAnsi"/>
          <w:color w:val="FF0000"/>
        </w:rPr>
        <w:t>changes to $5,000 January 1, 2023</w:t>
      </w:r>
    </w:p>
    <w:p w:rsidR="000F03D5" w:rsidRPr="00EA25FC" w:rsidRDefault="000F03D5" w:rsidP="000F03D5">
      <w:pPr>
        <w:autoSpaceDE w:val="0"/>
        <w:autoSpaceDN w:val="0"/>
        <w:adjustRightInd w:val="0"/>
        <w:jc w:val="both"/>
        <w:rPr>
          <w:rFonts w:cstheme="minorHAnsi"/>
          <w:color w:val="000000"/>
        </w:rPr>
      </w:pPr>
      <w:r w:rsidRPr="00EA25FC">
        <w:rPr>
          <w:rFonts w:cstheme="minorHAnsi"/>
          <w:color w:val="000000"/>
        </w:rPr>
        <w:t xml:space="preserve">Totally and permanently disabled quadriplegic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EA25FC">
        <w:rPr>
          <w:rFonts w:cstheme="minorHAnsi"/>
          <w:color w:val="000000"/>
        </w:rPr>
        <w:t>Homestead property 100% tax exempt</w:t>
      </w:r>
    </w:p>
    <w:p w:rsidR="000F03D5" w:rsidRPr="00EA25FC" w:rsidRDefault="000F03D5" w:rsidP="000F03D5">
      <w:pPr>
        <w:autoSpaceDE w:val="0"/>
        <w:autoSpaceDN w:val="0"/>
        <w:adjustRightInd w:val="0"/>
        <w:jc w:val="both"/>
        <w:rPr>
          <w:rFonts w:cstheme="minorHAnsi"/>
          <w:color w:val="000000"/>
        </w:rPr>
      </w:pPr>
      <w:r w:rsidRPr="00EA25FC">
        <w:rPr>
          <w:rFonts w:cstheme="minorHAnsi"/>
          <w:color w:val="000000"/>
        </w:rPr>
        <w:t>Totally and permanently disabled first responder</w:t>
      </w:r>
      <w:r>
        <w:rPr>
          <w:rFonts w:cstheme="minorHAnsi"/>
          <w:color w:val="000000"/>
        </w:rPr>
        <w:tab/>
      </w:r>
      <w:r>
        <w:rPr>
          <w:rFonts w:cstheme="minorHAnsi"/>
          <w:color w:val="000000"/>
        </w:rPr>
        <w:tab/>
      </w:r>
      <w:r>
        <w:rPr>
          <w:rFonts w:cstheme="minorHAnsi"/>
          <w:color w:val="000000"/>
        </w:rPr>
        <w:tab/>
        <w:t>Homestead property 100% tax exempt</w:t>
      </w:r>
    </w:p>
    <w:p w:rsidR="000F03D5" w:rsidRDefault="000F03D5" w:rsidP="000F03D5">
      <w:pPr>
        <w:jc w:val="both"/>
        <w:rPr>
          <w:rFonts w:cstheme="minorHAnsi"/>
          <w:color w:val="000000"/>
        </w:rPr>
      </w:pPr>
      <w:r w:rsidRPr="00EA25FC">
        <w:rPr>
          <w:rFonts w:cstheme="minorHAnsi"/>
          <w:color w:val="000000"/>
        </w:rPr>
        <w:t>(Applies also to surviving spouse)</w:t>
      </w:r>
    </w:p>
    <w:p w:rsidR="000F03D5" w:rsidRDefault="000F03D5" w:rsidP="000F03D5">
      <w:pPr>
        <w:jc w:val="both"/>
        <w:rPr>
          <w:rFonts w:cstheme="minorHAnsi"/>
          <w:color w:val="000000"/>
        </w:rPr>
      </w:pPr>
    </w:p>
    <w:p w:rsidR="000F03D5" w:rsidRPr="00885200" w:rsidRDefault="000F03D5" w:rsidP="000F03D5">
      <w:pPr>
        <w:kinsoku w:val="0"/>
        <w:overflowPunct w:val="0"/>
        <w:autoSpaceDE w:val="0"/>
        <w:autoSpaceDN w:val="0"/>
        <w:adjustRightInd w:val="0"/>
        <w:spacing w:before="4" w:line="230" w:lineRule="auto"/>
        <w:ind w:left="200" w:right="103"/>
        <w:jc w:val="both"/>
        <w:rPr>
          <w:rFonts w:ascii="Century" w:hAnsi="Century" w:cs="Century"/>
          <w:color w:val="231F20"/>
          <w:w w:val="90"/>
        </w:rPr>
      </w:pPr>
      <w:bookmarkStart w:id="0" w:name="_GoBack"/>
      <w:bookmarkEnd w:id="0"/>
      <w:r w:rsidRPr="00885200">
        <w:rPr>
          <w:rFonts w:ascii="Calibri" w:hAnsi="Calibri" w:cs="Calibri"/>
          <w:b/>
          <w:bCs/>
          <w:color w:val="231F20"/>
          <w:w w:val="90"/>
        </w:rPr>
        <w:t>Cumulative</w:t>
      </w:r>
      <w:r w:rsidRPr="00885200">
        <w:rPr>
          <w:rFonts w:ascii="Calibri" w:hAnsi="Calibri" w:cs="Calibri"/>
          <w:b/>
          <w:bCs/>
          <w:color w:val="231F20"/>
          <w:spacing w:val="17"/>
        </w:rPr>
        <w:t xml:space="preserve"> </w:t>
      </w:r>
      <w:r w:rsidRPr="00885200">
        <w:rPr>
          <w:rFonts w:ascii="Calibri" w:hAnsi="Calibri" w:cs="Calibri"/>
          <w:b/>
          <w:bCs/>
          <w:color w:val="231F20"/>
          <w:w w:val="90"/>
        </w:rPr>
        <w:t>Homestead</w:t>
      </w:r>
      <w:r w:rsidRPr="00885200">
        <w:rPr>
          <w:rFonts w:ascii="Calibri" w:hAnsi="Calibri" w:cs="Calibri"/>
          <w:b/>
          <w:bCs/>
          <w:color w:val="231F20"/>
          <w:spacing w:val="17"/>
        </w:rPr>
        <w:t xml:space="preserve"> </w:t>
      </w:r>
      <w:r w:rsidRPr="00885200">
        <w:rPr>
          <w:rFonts w:ascii="Calibri" w:hAnsi="Calibri" w:cs="Calibri"/>
          <w:b/>
          <w:bCs/>
          <w:color w:val="231F20"/>
          <w:w w:val="90"/>
        </w:rPr>
        <w:t>Tax</w:t>
      </w:r>
      <w:r w:rsidRPr="00885200">
        <w:rPr>
          <w:rFonts w:ascii="Calibri" w:hAnsi="Calibri" w:cs="Calibri"/>
          <w:b/>
          <w:bCs/>
          <w:color w:val="231F20"/>
          <w:spacing w:val="17"/>
        </w:rPr>
        <w:t xml:space="preserve"> </w:t>
      </w:r>
      <w:r w:rsidRPr="00885200">
        <w:rPr>
          <w:rFonts w:ascii="Calibri" w:hAnsi="Calibri" w:cs="Calibri"/>
          <w:b/>
          <w:bCs/>
          <w:color w:val="231F20"/>
          <w:w w:val="90"/>
        </w:rPr>
        <w:t>Exemptions.</w:t>
      </w:r>
      <w:r w:rsidRPr="00885200">
        <w:rPr>
          <w:rFonts w:ascii="Calibri" w:hAnsi="Calibri" w:cs="Calibri"/>
          <w:b/>
          <w:bCs/>
          <w:color w:val="231F20"/>
          <w:spacing w:val="80"/>
        </w:rPr>
        <w:t xml:space="preserve">  </w:t>
      </w:r>
      <w:r w:rsidRPr="00885200">
        <w:rPr>
          <w:rFonts w:ascii="Century" w:hAnsi="Century" w:cs="Century"/>
          <w:color w:val="231F20"/>
          <w:w w:val="90"/>
        </w:rPr>
        <w:t>The</w:t>
      </w:r>
      <w:r w:rsidRPr="00885200">
        <w:rPr>
          <w:rFonts w:ascii="Century" w:hAnsi="Century" w:cs="Century"/>
          <w:color w:val="231F20"/>
          <w:spacing w:val="12"/>
        </w:rPr>
        <w:t xml:space="preserve"> </w:t>
      </w:r>
      <w:r w:rsidRPr="00885200">
        <w:rPr>
          <w:rFonts w:ascii="Century" w:hAnsi="Century" w:cs="Century"/>
          <w:color w:val="231F20"/>
          <w:w w:val="90"/>
        </w:rPr>
        <w:t>taxable</w:t>
      </w:r>
      <w:r w:rsidRPr="00885200">
        <w:rPr>
          <w:rFonts w:ascii="Century" w:hAnsi="Century" w:cs="Century"/>
          <w:color w:val="231F20"/>
          <w:spacing w:val="12"/>
        </w:rPr>
        <w:t xml:space="preserve"> </w:t>
      </w:r>
      <w:r w:rsidRPr="00885200">
        <w:rPr>
          <w:rFonts w:ascii="Century" w:hAnsi="Century" w:cs="Century"/>
          <w:color w:val="231F20"/>
          <w:w w:val="90"/>
        </w:rPr>
        <w:t>value</w:t>
      </w:r>
      <w:r w:rsidRPr="00885200">
        <w:rPr>
          <w:rFonts w:ascii="Century" w:hAnsi="Century" w:cs="Century"/>
          <w:color w:val="231F20"/>
          <w:spacing w:val="12"/>
        </w:rPr>
        <w:t xml:space="preserve"> </w:t>
      </w:r>
      <w:r w:rsidRPr="00885200">
        <w:rPr>
          <w:rFonts w:ascii="Century" w:hAnsi="Century" w:cs="Century"/>
          <w:color w:val="231F20"/>
          <w:w w:val="90"/>
        </w:rPr>
        <w:t>of</w:t>
      </w:r>
      <w:r w:rsidRPr="00885200">
        <w:rPr>
          <w:rFonts w:ascii="Century" w:hAnsi="Century" w:cs="Century"/>
          <w:color w:val="231F20"/>
          <w:spacing w:val="12"/>
        </w:rPr>
        <w:t xml:space="preserve"> </w:t>
      </w:r>
      <w:r w:rsidRPr="00885200">
        <w:rPr>
          <w:rFonts w:ascii="Century" w:hAnsi="Century" w:cs="Century"/>
          <w:color w:val="231F20"/>
          <w:w w:val="90"/>
        </w:rPr>
        <w:t>a</w:t>
      </w:r>
      <w:r w:rsidRPr="00885200">
        <w:rPr>
          <w:rFonts w:ascii="Century" w:hAnsi="Century" w:cs="Century"/>
          <w:color w:val="231F20"/>
          <w:spacing w:val="12"/>
        </w:rPr>
        <w:t xml:space="preserve"> </w:t>
      </w:r>
      <w:r w:rsidRPr="00885200">
        <w:rPr>
          <w:rFonts w:ascii="Century" w:hAnsi="Century" w:cs="Century"/>
          <w:color w:val="231F20"/>
          <w:w w:val="90"/>
        </w:rPr>
        <w:t>homesteaded</w:t>
      </w:r>
      <w:r w:rsidRPr="00885200">
        <w:rPr>
          <w:rFonts w:ascii="Century" w:hAnsi="Century" w:cs="Century"/>
          <w:color w:val="231F20"/>
          <w:spacing w:val="12"/>
        </w:rPr>
        <w:t xml:space="preserve"> </w:t>
      </w:r>
      <w:r w:rsidRPr="00885200">
        <w:rPr>
          <w:rFonts w:ascii="Century" w:hAnsi="Century" w:cs="Century"/>
          <w:color w:val="231F20"/>
          <w:w w:val="90"/>
        </w:rPr>
        <w:t>property</w:t>
      </w:r>
      <w:r w:rsidRPr="00885200">
        <w:rPr>
          <w:rFonts w:ascii="Century" w:hAnsi="Century" w:cs="Century"/>
          <w:color w:val="231F20"/>
          <w:spacing w:val="12"/>
        </w:rPr>
        <w:t xml:space="preserve"> </w:t>
      </w:r>
      <w:r w:rsidRPr="00885200">
        <w:rPr>
          <w:rFonts w:ascii="Century" w:hAnsi="Century" w:cs="Century"/>
          <w:color w:val="231F20"/>
          <w:w w:val="90"/>
        </w:rPr>
        <w:t>is</w:t>
      </w:r>
      <w:r w:rsidRPr="00885200">
        <w:rPr>
          <w:rFonts w:ascii="Century" w:hAnsi="Century" w:cs="Century"/>
          <w:color w:val="231F20"/>
        </w:rPr>
        <w:t xml:space="preserve"> </w:t>
      </w:r>
      <w:r w:rsidRPr="00885200">
        <w:rPr>
          <w:rFonts w:ascii="Century" w:hAnsi="Century" w:cs="Century"/>
          <w:color w:val="231F20"/>
          <w:w w:val="90"/>
        </w:rPr>
        <w:t>calculated</w:t>
      </w:r>
      <w:r w:rsidRPr="00885200">
        <w:rPr>
          <w:rFonts w:ascii="Century" w:hAnsi="Century" w:cs="Century"/>
          <w:color w:val="231F20"/>
        </w:rPr>
        <w:t xml:space="preserve"> </w:t>
      </w:r>
      <w:r w:rsidRPr="00885200">
        <w:rPr>
          <w:rFonts w:ascii="Century" w:hAnsi="Century" w:cs="Century"/>
          <w:color w:val="231F20"/>
          <w:w w:val="90"/>
        </w:rPr>
        <w:t>by</w:t>
      </w:r>
      <w:r w:rsidRPr="00885200">
        <w:rPr>
          <w:rFonts w:ascii="Century" w:hAnsi="Century" w:cs="Century"/>
          <w:color w:val="231F20"/>
        </w:rPr>
        <w:t xml:space="preserve"> </w:t>
      </w:r>
      <w:r w:rsidRPr="00885200">
        <w:rPr>
          <w:rFonts w:ascii="Century" w:hAnsi="Century" w:cs="Century"/>
          <w:color w:val="231F20"/>
          <w:w w:val="90"/>
        </w:rPr>
        <w:t>totaling</w:t>
      </w:r>
      <w:r w:rsidRPr="00885200">
        <w:rPr>
          <w:rFonts w:ascii="Century" w:hAnsi="Century" w:cs="Century"/>
          <w:color w:val="231F20"/>
        </w:rPr>
        <w:t xml:space="preserve"> </w:t>
      </w:r>
      <w:r w:rsidRPr="00885200">
        <w:rPr>
          <w:rFonts w:ascii="Century" w:hAnsi="Century" w:cs="Century"/>
          <w:color w:val="231F20"/>
          <w:w w:val="90"/>
        </w:rPr>
        <w:t>all</w:t>
      </w:r>
      <w:r w:rsidRPr="00885200">
        <w:rPr>
          <w:rFonts w:ascii="Century" w:hAnsi="Century" w:cs="Century"/>
          <w:color w:val="231F20"/>
        </w:rPr>
        <w:t xml:space="preserve"> </w:t>
      </w:r>
      <w:r w:rsidRPr="00885200">
        <w:rPr>
          <w:rFonts w:ascii="Century" w:hAnsi="Century" w:cs="Century"/>
          <w:color w:val="231F20"/>
          <w:w w:val="90"/>
        </w:rPr>
        <w:t>the</w:t>
      </w:r>
      <w:r w:rsidRPr="00885200">
        <w:rPr>
          <w:rFonts w:ascii="Century" w:hAnsi="Century" w:cs="Century"/>
          <w:color w:val="231F20"/>
        </w:rPr>
        <w:t xml:space="preserve"> </w:t>
      </w:r>
      <w:r w:rsidRPr="00885200">
        <w:rPr>
          <w:rFonts w:ascii="Century" w:hAnsi="Century" w:cs="Century"/>
          <w:color w:val="231F20"/>
          <w:w w:val="90"/>
        </w:rPr>
        <w:t>tax</w:t>
      </w:r>
      <w:r w:rsidRPr="00885200">
        <w:rPr>
          <w:rFonts w:ascii="Century" w:hAnsi="Century" w:cs="Century"/>
          <w:color w:val="231F20"/>
        </w:rPr>
        <w:t xml:space="preserve"> </w:t>
      </w:r>
      <w:r w:rsidRPr="00885200">
        <w:rPr>
          <w:rFonts w:ascii="Century" w:hAnsi="Century" w:cs="Century"/>
          <w:color w:val="231F20"/>
          <w:w w:val="90"/>
        </w:rPr>
        <w:t>exemptions</w:t>
      </w:r>
      <w:r w:rsidRPr="00885200">
        <w:rPr>
          <w:rFonts w:ascii="Century" w:hAnsi="Century" w:cs="Century"/>
          <w:color w:val="231F20"/>
        </w:rPr>
        <w:t xml:space="preserve"> </w:t>
      </w:r>
      <w:r w:rsidRPr="00885200">
        <w:rPr>
          <w:rFonts w:ascii="Century" w:hAnsi="Century" w:cs="Century"/>
          <w:color w:val="231F20"/>
          <w:w w:val="90"/>
        </w:rPr>
        <w:t>that</w:t>
      </w:r>
      <w:r w:rsidRPr="00885200">
        <w:rPr>
          <w:rFonts w:ascii="Century" w:hAnsi="Century" w:cs="Century"/>
          <w:color w:val="231F20"/>
        </w:rPr>
        <w:t xml:space="preserve"> </w:t>
      </w:r>
      <w:r w:rsidRPr="00885200">
        <w:rPr>
          <w:rFonts w:ascii="Century" w:hAnsi="Century" w:cs="Century"/>
          <w:color w:val="231F20"/>
          <w:w w:val="90"/>
        </w:rPr>
        <w:t>apply</w:t>
      </w:r>
      <w:r w:rsidRPr="00885200">
        <w:rPr>
          <w:rFonts w:ascii="Century" w:hAnsi="Century" w:cs="Century"/>
          <w:color w:val="231F20"/>
        </w:rPr>
        <w:t xml:space="preserve"> </w:t>
      </w:r>
      <w:r w:rsidRPr="00885200">
        <w:rPr>
          <w:rFonts w:ascii="Century" w:hAnsi="Century" w:cs="Century"/>
          <w:color w:val="231F20"/>
          <w:w w:val="90"/>
        </w:rPr>
        <w:t>to</w:t>
      </w:r>
      <w:r w:rsidRPr="00885200">
        <w:rPr>
          <w:rFonts w:ascii="Century" w:hAnsi="Century" w:cs="Century"/>
          <w:color w:val="231F20"/>
        </w:rPr>
        <w:t xml:space="preserve"> </w:t>
      </w:r>
      <w:r w:rsidRPr="00885200">
        <w:rPr>
          <w:rFonts w:ascii="Century" w:hAnsi="Century" w:cs="Century"/>
          <w:color w:val="231F20"/>
          <w:w w:val="90"/>
        </w:rPr>
        <w:t>the</w:t>
      </w:r>
      <w:r w:rsidRPr="00885200">
        <w:rPr>
          <w:rFonts w:ascii="Century" w:hAnsi="Century" w:cs="Century"/>
          <w:color w:val="231F20"/>
        </w:rPr>
        <w:t xml:space="preserve"> </w:t>
      </w:r>
      <w:r w:rsidRPr="00885200">
        <w:rPr>
          <w:rFonts w:ascii="Century" w:hAnsi="Century" w:cs="Century"/>
          <w:color w:val="231F20"/>
          <w:w w:val="90"/>
        </w:rPr>
        <w:t>homeowners</w:t>
      </w:r>
      <w:r w:rsidRPr="00885200">
        <w:rPr>
          <w:rFonts w:ascii="Century" w:hAnsi="Century" w:cs="Century"/>
          <w:color w:val="231F20"/>
        </w:rPr>
        <w:t xml:space="preserve"> </w:t>
      </w:r>
      <w:r w:rsidRPr="00885200">
        <w:rPr>
          <w:rFonts w:ascii="Century" w:hAnsi="Century" w:cs="Century"/>
          <w:color w:val="231F20"/>
          <w:w w:val="90"/>
        </w:rPr>
        <w:t>and</w:t>
      </w:r>
      <w:r w:rsidRPr="00885200">
        <w:rPr>
          <w:rFonts w:ascii="Century" w:hAnsi="Century" w:cs="Century"/>
          <w:color w:val="231F20"/>
        </w:rPr>
        <w:t xml:space="preserve"> </w:t>
      </w:r>
      <w:r w:rsidRPr="00885200">
        <w:rPr>
          <w:rFonts w:ascii="Century" w:hAnsi="Century" w:cs="Century"/>
          <w:color w:val="231F20"/>
          <w:w w:val="90"/>
        </w:rPr>
        <w:t>deducting</w:t>
      </w:r>
      <w:r w:rsidRPr="00885200">
        <w:rPr>
          <w:rFonts w:ascii="Century" w:hAnsi="Century" w:cs="Century"/>
          <w:color w:val="231F20"/>
          <w:spacing w:val="10"/>
        </w:rPr>
        <w:t xml:space="preserve"> </w:t>
      </w:r>
      <w:r w:rsidRPr="00885200">
        <w:rPr>
          <w:rFonts w:ascii="Century" w:hAnsi="Century" w:cs="Century"/>
          <w:color w:val="231F20"/>
          <w:w w:val="90"/>
        </w:rPr>
        <w:t>the</w:t>
      </w:r>
      <w:r w:rsidRPr="00885200">
        <w:rPr>
          <w:rFonts w:ascii="Century" w:hAnsi="Century" w:cs="Century"/>
          <w:color w:val="231F20"/>
          <w:spacing w:val="17"/>
        </w:rPr>
        <w:t xml:space="preserve"> </w:t>
      </w:r>
      <w:r w:rsidRPr="00885200">
        <w:rPr>
          <w:rFonts w:ascii="Century" w:hAnsi="Century" w:cs="Century"/>
          <w:color w:val="231F20"/>
          <w:w w:val="90"/>
        </w:rPr>
        <w:t>applicable</w:t>
      </w:r>
      <w:r w:rsidRPr="00885200">
        <w:rPr>
          <w:rFonts w:ascii="Century" w:hAnsi="Century" w:cs="Century"/>
          <w:color w:val="231F20"/>
          <w:spacing w:val="17"/>
        </w:rPr>
        <w:t xml:space="preserve"> </w:t>
      </w:r>
      <w:r w:rsidRPr="00885200">
        <w:rPr>
          <w:rFonts w:ascii="Century" w:hAnsi="Century" w:cs="Century"/>
          <w:color w:val="231F20"/>
          <w:w w:val="90"/>
        </w:rPr>
        <w:t>exemptions</w:t>
      </w:r>
      <w:r w:rsidRPr="00885200">
        <w:rPr>
          <w:rFonts w:ascii="Century" w:hAnsi="Century" w:cs="Century"/>
          <w:color w:val="231F20"/>
          <w:spacing w:val="17"/>
        </w:rPr>
        <w:t xml:space="preserve"> </w:t>
      </w:r>
      <w:r w:rsidRPr="00885200">
        <w:rPr>
          <w:rFonts w:ascii="Century" w:hAnsi="Century" w:cs="Century"/>
          <w:color w:val="231F20"/>
          <w:w w:val="90"/>
        </w:rPr>
        <w:t>from</w:t>
      </w:r>
      <w:r w:rsidRPr="00885200">
        <w:rPr>
          <w:rFonts w:ascii="Century" w:hAnsi="Century" w:cs="Century"/>
          <w:color w:val="231F20"/>
          <w:spacing w:val="17"/>
        </w:rPr>
        <w:t xml:space="preserve"> </w:t>
      </w:r>
      <w:r w:rsidRPr="00885200">
        <w:rPr>
          <w:rFonts w:ascii="Century" w:hAnsi="Century" w:cs="Century"/>
          <w:color w:val="231F20"/>
          <w:w w:val="90"/>
        </w:rPr>
        <w:t>the</w:t>
      </w:r>
      <w:r w:rsidRPr="00885200">
        <w:rPr>
          <w:rFonts w:ascii="Century" w:hAnsi="Century" w:cs="Century"/>
          <w:color w:val="231F20"/>
          <w:spacing w:val="17"/>
        </w:rPr>
        <w:t xml:space="preserve"> </w:t>
      </w:r>
      <w:r w:rsidRPr="00885200">
        <w:rPr>
          <w:rFonts w:ascii="Century" w:hAnsi="Century" w:cs="Century"/>
          <w:color w:val="231F20"/>
          <w:w w:val="90"/>
        </w:rPr>
        <w:t>assessed</w:t>
      </w:r>
      <w:r w:rsidRPr="00885200">
        <w:rPr>
          <w:rFonts w:ascii="Century" w:hAnsi="Century" w:cs="Century"/>
          <w:color w:val="231F20"/>
          <w:spacing w:val="17"/>
        </w:rPr>
        <w:t xml:space="preserve"> </w:t>
      </w:r>
      <w:r w:rsidRPr="00885200">
        <w:rPr>
          <w:rFonts w:ascii="Century" w:hAnsi="Century" w:cs="Century"/>
          <w:color w:val="231F20"/>
          <w:w w:val="90"/>
        </w:rPr>
        <w:t>value.</w:t>
      </w:r>
      <w:r>
        <w:rPr>
          <w:rFonts w:ascii="Century" w:hAnsi="Century" w:cs="Century"/>
          <w:color w:val="231F20"/>
          <w:w w:val="90"/>
        </w:rPr>
        <w:t xml:space="preserve"> [see pg. 411, lines 5-15]</w:t>
      </w:r>
    </w:p>
    <w:p w:rsidR="000F03D5" w:rsidRPr="00885200" w:rsidRDefault="000F03D5" w:rsidP="000F03D5">
      <w:pPr>
        <w:kinsoku w:val="0"/>
        <w:overflowPunct w:val="0"/>
        <w:autoSpaceDE w:val="0"/>
        <w:autoSpaceDN w:val="0"/>
        <w:adjustRightInd w:val="0"/>
        <w:spacing w:before="141" w:line="244" w:lineRule="auto"/>
        <w:ind w:left="559" w:right="1016"/>
        <w:rPr>
          <w:rFonts w:ascii="Gill Sans MT" w:hAnsi="Gill Sans MT" w:cs="Gill Sans MT"/>
          <w:color w:val="231F20"/>
          <w:w w:val="95"/>
        </w:rPr>
      </w:pPr>
      <w:r w:rsidRPr="00885200">
        <w:rPr>
          <w:rFonts w:ascii="Calibri" w:hAnsi="Calibri" w:cs="Calibri"/>
          <w:b/>
          <w:bCs/>
          <w:color w:val="231F20"/>
          <w:spacing w:val="31"/>
          <w:w w:val="95"/>
        </w:rPr>
        <w:t>E</w:t>
      </w:r>
      <w:r w:rsidRPr="00885200">
        <w:rPr>
          <w:rFonts w:ascii="Calibri" w:hAnsi="Calibri" w:cs="Calibri"/>
          <w:b/>
          <w:bCs/>
          <w:color w:val="231F20"/>
          <w:spacing w:val="2"/>
          <w:w w:val="95"/>
        </w:rPr>
        <w:t xml:space="preserve"> </w:t>
      </w:r>
      <w:r w:rsidRPr="00885200">
        <w:rPr>
          <w:rFonts w:ascii="Calibri" w:hAnsi="Calibri" w:cs="Calibri"/>
          <w:b/>
          <w:bCs/>
          <w:color w:val="231F20"/>
          <w:spacing w:val="31"/>
          <w:w w:val="95"/>
        </w:rPr>
        <w:t>X</w:t>
      </w:r>
      <w:r w:rsidRPr="00885200">
        <w:rPr>
          <w:rFonts w:ascii="Calibri" w:hAnsi="Calibri" w:cs="Calibri"/>
          <w:b/>
          <w:bCs/>
          <w:color w:val="231F20"/>
          <w:spacing w:val="2"/>
          <w:w w:val="95"/>
        </w:rPr>
        <w:t xml:space="preserve"> </w:t>
      </w:r>
      <w:r w:rsidRPr="00885200">
        <w:rPr>
          <w:rFonts w:ascii="Calibri" w:hAnsi="Calibri" w:cs="Calibri"/>
          <w:b/>
          <w:bCs/>
          <w:color w:val="231F20"/>
          <w:spacing w:val="31"/>
          <w:w w:val="95"/>
        </w:rPr>
        <w:t>A</w:t>
      </w:r>
      <w:r w:rsidRPr="00885200">
        <w:rPr>
          <w:rFonts w:ascii="Calibri" w:hAnsi="Calibri" w:cs="Calibri"/>
          <w:b/>
          <w:bCs/>
          <w:color w:val="231F20"/>
          <w:spacing w:val="2"/>
          <w:w w:val="95"/>
        </w:rPr>
        <w:t xml:space="preserve"> </w:t>
      </w:r>
      <w:r w:rsidRPr="00885200">
        <w:rPr>
          <w:rFonts w:ascii="Calibri" w:hAnsi="Calibri" w:cs="Calibri"/>
          <w:b/>
          <w:bCs/>
          <w:color w:val="231F20"/>
          <w:spacing w:val="31"/>
          <w:w w:val="95"/>
        </w:rPr>
        <w:t>M</w:t>
      </w:r>
      <w:r w:rsidRPr="00885200">
        <w:rPr>
          <w:rFonts w:ascii="Calibri" w:hAnsi="Calibri" w:cs="Calibri"/>
          <w:b/>
          <w:bCs/>
          <w:color w:val="231F20"/>
          <w:spacing w:val="2"/>
          <w:w w:val="95"/>
        </w:rPr>
        <w:t xml:space="preserve"> </w:t>
      </w:r>
      <w:r w:rsidRPr="00885200">
        <w:rPr>
          <w:rFonts w:ascii="Calibri" w:hAnsi="Calibri" w:cs="Calibri"/>
          <w:b/>
          <w:bCs/>
          <w:color w:val="231F20"/>
          <w:spacing w:val="31"/>
          <w:w w:val="95"/>
        </w:rPr>
        <w:t>P</w:t>
      </w:r>
      <w:r w:rsidRPr="00885200">
        <w:rPr>
          <w:rFonts w:ascii="Calibri" w:hAnsi="Calibri" w:cs="Calibri"/>
          <w:b/>
          <w:bCs/>
          <w:color w:val="231F20"/>
          <w:spacing w:val="2"/>
          <w:w w:val="95"/>
        </w:rPr>
        <w:t xml:space="preserve"> </w:t>
      </w:r>
      <w:r w:rsidRPr="00885200">
        <w:rPr>
          <w:rFonts w:ascii="Calibri" w:hAnsi="Calibri" w:cs="Calibri"/>
          <w:b/>
          <w:bCs/>
          <w:color w:val="231F20"/>
          <w:spacing w:val="31"/>
          <w:w w:val="95"/>
        </w:rPr>
        <w:t>L</w:t>
      </w:r>
      <w:r w:rsidRPr="00885200">
        <w:rPr>
          <w:rFonts w:ascii="Calibri" w:hAnsi="Calibri" w:cs="Calibri"/>
          <w:b/>
          <w:bCs/>
          <w:color w:val="231F20"/>
          <w:spacing w:val="2"/>
          <w:w w:val="95"/>
        </w:rPr>
        <w:t xml:space="preserve"> </w:t>
      </w:r>
      <w:r w:rsidRPr="00885200">
        <w:rPr>
          <w:rFonts w:ascii="Calibri" w:hAnsi="Calibri" w:cs="Calibri"/>
          <w:b/>
          <w:bCs/>
          <w:color w:val="231F20"/>
          <w:spacing w:val="31"/>
          <w:w w:val="95"/>
        </w:rPr>
        <w:t>E</w:t>
      </w:r>
      <w:r w:rsidRPr="00885200">
        <w:rPr>
          <w:rFonts w:ascii="Calibri" w:hAnsi="Calibri" w:cs="Calibri"/>
          <w:b/>
          <w:bCs/>
          <w:color w:val="231F20"/>
          <w:w w:val="95"/>
        </w:rPr>
        <w:t>:</w:t>
      </w:r>
      <w:r w:rsidRPr="00885200">
        <w:rPr>
          <w:rFonts w:ascii="Calibri" w:hAnsi="Calibri" w:cs="Calibri"/>
          <w:b/>
          <w:bCs/>
          <w:color w:val="231F20"/>
          <w:spacing w:val="80"/>
        </w:rPr>
        <w:t xml:space="preserve">  </w:t>
      </w:r>
      <w:r w:rsidRPr="00885200">
        <w:rPr>
          <w:rFonts w:ascii="Gill Sans MT" w:hAnsi="Gill Sans MT" w:cs="Gill Sans MT"/>
          <w:color w:val="231F20"/>
          <w:w w:val="95"/>
        </w:rPr>
        <w:t>What</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is</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the</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total</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homestead</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exemption</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for</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a</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widower</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with</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an assessed</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value</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of</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more</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than</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$75,000</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on</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a</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qualifying</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homesteaded</w:t>
      </w:r>
      <w:r w:rsidRPr="00885200">
        <w:rPr>
          <w:rFonts w:ascii="Gill Sans MT" w:hAnsi="Gill Sans MT" w:cs="Gill Sans MT"/>
          <w:color w:val="231F20"/>
          <w:spacing w:val="-1"/>
          <w:w w:val="95"/>
        </w:rPr>
        <w:t xml:space="preserve"> </w:t>
      </w:r>
      <w:r w:rsidRPr="00885200">
        <w:rPr>
          <w:rFonts w:ascii="Gill Sans MT" w:hAnsi="Gill Sans MT" w:cs="Gill Sans MT"/>
          <w:color w:val="231F20"/>
          <w:w w:val="95"/>
        </w:rPr>
        <w:t>property?</w:t>
      </w:r>
    </w:p>
    <w:p w:rsidR="000F03D5" w:rsidRPr="00885200" w:rsidRDefault="000F03D5" w:rsidP="000F03D5">
      <w:pPr>
        <w:kinsoku w:val="0"/>
        <w:overflowPunct w:val="0"/>
        <w:autoSpaceDE w:val="0"/>
        <w:autoSpaceDN w:val="0"/>
        <w:adjustRightInd w:val="0"/>
        <w:spacing w:line="244" w:lineRule="auto"/>
        <w:ind w:left="559" w:right="519" w:firstLine="359"/>
        <w:rPr>
          <w:rFonts w:ascii="Gill Sans MT" w:hAnsi="Gill Sans MT" w:cs="Gill Sans MT"/>
          <w:color w:val="231F20"/>
          <w:w w:val="95"/>
        </w:rPr>
      </w:pPr>
      <w:r>
        <w:rPr>
          <w:rFonts w:ascii="Gill Sans MT" w:hAnsi="Gill Sans MT" w:cs="Gill Sans MT"/>
          <w:color w:val="231F20"/>
          <w:w w:val="95"/>
        </w:rPr>
        <w:t>$50,000 homestead exemption+</w:t>
      </w:r>
      <w:r w:rsidRPr="00885200">
        <w:rPr>
          <w:rFonts w:ascii="Gill Sans MT" w:hAnsi="Gill Sans MT" w:cs="Gill Sans MT"/>
          <w:color w:val="231F20"/>
          <w:w w:val="95"/>
        </w:rPr>
        <w:t xml:space="preserve">$500 </w:t>
      </w:r>
      <w:r>
        <w:rPr>
          <w:rFonts w:ascii="Gill Sans MT" w:hAnsi="Gill Sans MT" w:cs="Gill Sans MT"/>
          <w:color w:val="FF0000"/>
          <w:w w:val="95"/>
        </w:rPr>
        <w:t xml:space="preserve">[$5000 1/1/2023] </w:t>
      </w:r>
      <w:r w:rsidRPr="00885200">
        <w:rPr>
          <w:rFonts w:ascii="Gill Sans MT" w:hAnsi="Gill Sans MT" w:cs="Gill Sans MT"/>
          <w:color w:val="231F20"/>
          <w:w w:val="95"/>
        </w:rPr>
        <w:t>surviving spouse</w:t>
      </w:r>
      <w:r>
        <w:rPr>
          <w:rFonts w:ascii="Gill Sans MT" w:hAnsi="Gill Sans MT" w:cs="Gill Sans MT"/>
          <w:color w:val="231F20"/>
          <w:w w:val="95"/>
        </w:rPr>
        <w:t xml:space="preserve"> additional exemption</w:t>
      </w:r>
      <w:r w:rsidRPr="00885200">
        <w:rPr>
          <w:rFonts w:ascii="Gill Sans MT" w:hAnsi="Gill Sans MT" w:cs="Gill Sans MT"/>
          <w:color w:val="231F20"/>
          <w:w w:val="95"/>
        </w:rPr>
        <w:t xml:space="preserve"> =</w:t>
      </w:r>
      <w:r w:rsidRPr="00885200">
        <w:rPr>
          <w:rFonts w:ascii="Gill Sans MT" w:hAnsi="Gill Sans MT" w:cs="Gill Sans MT"/>
          <w:color w:val="231F20"/>
          <w:spacing w:val="40"/>
        </w:rPr>
        <w:t xml:space="preserve"> </w:t>
      </w:r>
      <w:r>
        <w:rPr>
          <w:rFonts w:ascii="Gill Sans MT" w:hAnsi="Gill Sans MT" w:cs="Gill Sans MT"/>
          <w:color w:val="231F20"/>
          <w:w w:val="95"/>
        </w:rPr>
        <w:t xml:space="preserve"> $50,500 </w:t>
      </w:r>
      <w:r w:rsidRPr="00383366">
        <w:rPr>
          <w:rFonts w:ascii="Gill Sans MT" w:hAnsi="Gill Sans MT" w:cs="Gill Sans MT"/>
          <w:color w:val="FF0000"/>
          <w:w w:val="95"/>
        </w:rPr>
        <w:t xml:space="preserve">[$55,000 as of 1/1/2023] </w:t>
      </w:r>
    </w:p>
    <w:p w:rsidR="000F03D5" w:rsidRPr="00885200" w:rsidRDefault="000F03D5" w:rsidP="000F03D5">
      <w:pPr>
        <w:kinsoku w:val="0"/>
        <w:overflowPunct w:val="0"/>
        <w:autoSpaceDE w:val="0"/>
        <w:autoSpaceDN w:val="0"/>
        <w:adjustRightInd w:val="0"/>
        <w:spacing w:before="129" w:line="244" w:lineRule="auto"/>
        <w:ind w:left="559" w:right="1016"/>
        <w:rPr>
          <w:rFonts w:ascii="Gill Sans MT" w:hAnsi="Gill Sans MT" w:cs="Gill Sans MT"/>
          <w:color w:val="231F20"/>
          <w:w w:val="95"/>
        </w:rPr>
      </w:pPr>
      <w:r w:rsidRPr="00885200">
        <w:rPr>
          <w:rFonts w:ascii="Calibri" w:hAnsi="Calibri" w:cs="Calibri"/>
          <w:b/>
          <w:bCs/>
          <w:color w:val="231F20"/>
          <w:spacing w:val="31"/>
          <w:w w:val="95"/>
        </w:rPr>
        <w:t>E</w:t>
      </w:r>
      <w:r w:rsidRPr="00885200">
        <w:rPr>
          <w:rFonts w:ascii="Calibri" w:hAnsi="Calibri" w:cs="Calibri"/>
          <w:b/>
          <w:bCs/>
          <w:color w:val="231F20"/>
          <w:spacing w:val="5"/>
          <w:w w:val="95"/>
        </w:rPr>
        <w:t xml:space="preserve"> </w:t>
      </w:r>
      <w:r w:rsidRPr="00885200">
        <w:rPr>
          <w:rFonts w:ascii="Calibri" w:hAnsi="Calibri" w:cs="Calibri"/>
          <w:b/>
          <w:bCs/>
          <w:color w:val="231F20"/>
          <w:spacing w:val="31"/>
          <w:w w:val="95"/>
        </w:rPr>
        <w:t>X</w:t>
      </w:r>
      <w:r w:rsidRPr="00885200">
        <w:rPr>
          <w:rFonts w:ascii="Calibri" w:hAnsi="Calibri" w:cs="Calibri"/>
          <w:b/>
          <w:bCs/>
          <w:color w:val="231F20"/>
          <w:spacing w:val="5"/>
          <w:w w:val="95"/>
        </w:rPr>
        <w:t xml:space="preserve"> </w:t>
      </w:r>
      <w:r w:rsidRPr="00885200">
        <w:rPr>
          <w:rFonts w:ascii="Calibri" w:hAnsi="Calibri" w:cs="Calibri"/>
          <w:b/>
          <w:bCs/>
          <w:color w:val="231F20"/>
          <w:spacing w:val="31"/>
          <w:w w:val="95"/>
        </w:rPr>
        <w:t>A</w:t>
      </w:r>
      <w:r w:rsidRPr="00885200">
        <w:rPr>
          <w:rFonts w:ascii="Calibri" w:hAnsi="Calibri" w:cs="Calibri"/>
          <w:b/>
          <w:bCs/>
          <w:color w:val="231F20"/>
          <w:spacing w:val="5"/>
          <w:w w:val="95"/>
        </w:rPr>
        <w:t xml:space="preserve"> </w:t>
      </w:r>
      <w:r w:rsidRPr="00885200">
        <w:rPr>
          <w:rFonts w:ascii="Calibri" w:hAnsi="Calibri" w:cs="Calibri"/>
          <w:b/>
          <w:bCs/>
          <w:color w:val="231F20"/>
          <w:spacing w:val="31"/>
          <w:w w:val="95"/>
        </w:rPr>
        <w:t>M</w:t>
      </w:r>
      <w:r w:rsidRPr="00885200">
        <w:rPr>
          <w:rFonts w:ascii="Calibri" w:hAnsi="Calibri" w:cs="Calibri"/>
          <w:b/>
          <w:bCs/>
          <w:color w:val="231F20"/>
          <w:spacing w:val="5"/>
          <w:w w:val="95"/>
        </w:rPr>
        <w:t xml:space="preserve"> </w:t>
      </w:r>
      <w:r w:rsidRPr="00885200">
        <w:rPr>
          <w:rFonts w:ascii="Calibri" w:hAnsi="Calibri" w:cs="Calibri"/>
          <w:b/>
          <w:bCs/>
          <w:color w:val="231F20"/>
          <w:spacing w:val="31"/>
          <w:w w:val="95"/>
        </w:rPr>
        <w:t>P</w:t>
      </w:r>
      <w:r w:rsidRPr="00885200">
        <w:rPr>
          <w:rFonts w:ascii="Calibri" w:hAnsi="Calibri" w:cs="Calibri"/>
          <w:b/>
          <w:bCs/>
          <w:color w:val="231F20"/>
          <w:spacing w:val="5"/>
          <w:w w:val="95"/>
        </w:rPr>
        <w:t xml:space="preserve"> </w:t>
      </w:r>
      <w:r w:rsidRPr="00885200">
        <w:rPr>
          <w:rFonts w:ascii="Calibri" w:hAnsi="Calibri" w:cs="Calibri"/>
          <w:b/>
          <w:bCs/>
          <w:color w:val="231F20"/>
          <w:spacing w:val="31"/>
          <w:w w:val="95"/>
        </w:rPr>
        <w:t>L</w:t>
      </w:r>
      <w:r w:rsidRPr="00885200">
        <w:rPr>
          <w:rFonts w:ascii="Calibri" w:hAnsi="Calibri" w:cs="Calibri"/>
          <w:b/>
          <w:bCs/>
          <w:color w:val="231F20"/>
          <w:spacing w:val="5"/>
          <w:w w:val="95"/>
        </w:rPr>
        <w:t xml:space="preserve"> </w:t>
      </w:r>
      <w:r w:rsidRPr="00885200">
        <w:rPr>
          <w:rFonts w:ascii="Calibri" w:hAnsi="Calibri" w:cs="Calibri"/>
          <w:b/>
          <w:bCs/>
          <w:color w:val="231F20"/>
          <w:spacing w:val="31"/>
          <w:w w:val="95"/>
        </w:rPr>
        <w:t>E</w:t>
      </w:r>
      <w:r w:rsidRPr="00885200">
        <w:rPr>
          <w:rFonts w:ascii="Calibri" w:hAnsi="Calibri" w:cs="Calibri"/>
          <w:b/>
          <w:bCs/>
          <w:color w:val="231F20"/>
          <w:w w:val="95"/>
        </w:rPr>
        <w:t>:</w:t>
      </w:r>
      <w:r w:rsidRPr="00885200">
        <w:rPr>
          <w:rFonts w:ascii="Calibri" w:hAnsi="Calibri" w:cs="Calibri"/>
          <w:b/>
          <w:bCs/>
          <w:color w:val="231F20"/>
          <w:spacing w:val="80"/>
          <w:w w:val="150"/>
        </w:rPr>
        <w:t xml:space="preserve">  </w:t>
      </w:r>
      <w:r w:rsidRPr="00885200">
        <w:rPr>
          <w:rFonts w:ascii="Gill Sans MT" w:hAnsi="Gill Sans MT" w:cs="Gill Sans MT"/>
          <w:color w:val="231F20"/>
          <w:w w:val="95"/>
        </w:rPr>
        <w:t xml:space="preserve">What is the total homestead exemption for a blind surviving spouse with an assessed value of </w:t>
      </w:r>
      <w:r>
        <w:rPr>
          <w:rFonts w:ascii="Gill Sans MT" w:hAnsi="Gill Sans MT" w:cs="Gill Sans MT"/>
          <w:color w:val="231F20"/>
          <w:w w:val="95"/>
        </w:rPr>
        <w:t>greater than $75,000</w:t>
      </w:r>
      <w:r w:rsidRPr="00885200">
        <w:rPr>
          <w:rFonts w:ascii="Gill Sans MT" w:hAnsi="Gill Sans MT" w:cs="Gill Sans MT"/>
          <w:color w:val="231F20"/>
          <w:w w:val="95"/>
        </w:rPr>
        <w:t xml:space="preserve"> on a qualifying homesteaded property?</w:t>
      </w:r>
    </w:p>
    <w:p w:rsidR="000F03D5" w:rsidRPr="00885200" w:rsidRDefault="000F03D5" w:rsidP="000F03D5">
      <w:pPr>
        <w:kinsoku w:val="0"/>
        <w:overflowPunct w:val="0"/>
        <w:autoSpaceDE w:val="0"/>
        <w:autoSpaceDN w:val="0"/>
        <w:adjustRightInd w:val="0"/>
        <w:spacing w:line="244" w:lineRule="auto"/>
        <w:ind w:left="559" w:right="1016" w:firstLine="359"/>
        <w:rPr>
          <w:rFonts w:ascii="Gill Sans MT" w:hAnsi="Gill Sans MT" w:cs="Gill Sans MT"/>
          <w:color w:val="231F20"/>
          <w:w w:val="90"/>
        </w:rPr>
      </w:pPr>
      <w:r>
        <w:rPr>
          <w:rFonts w:ascii="Gill Sans MT" w:hAnsi="Gill Sans MT" w:cs="Gill Sans MT"/>
          <w:color w:val="231F20"/>
          <w:spacing w:val="17"/>
        </w:rPr>
        <w:t>$50,000+</w:t>
      </w:r>
      <w:r w:rsidRPr="00885200">
        <w:rPr>
          <w:rFonts w:ascii="Gill Sans MT" w:hAnsi="Gill Sans MT" w:cs="Gill Sans MT"/>
          <w:color w:val="231F20"/>
          <w:w w:val="90"/>
        </w:rPr>
        <w:t>$500</w:t>
      </w:r>
      <w:r>
        <w:rPr>
          <w:rFonts w:ascii="Gill Sans MT" w:hAnsi="Gill Sans MT" w:cs="Gill Sans MT"/>
          <w:color w:val="FF0000"/>
          <w:w w:val="90"/>
        </w:rPr>
        <w:t xml:space="preserve"> </w:t>
      </w:r>
      <w:bookmarkStart w:id="1" w:name="_Hlk116204591"/>
      <w:r>
        <w:rPr>
          <w:rFonts w:ascii="Gill Sans MT" w:hAnsi="Gill Sans MT" w:cs="Gill Sans MT"/>
          <w:color w:val="FF0000"/>
          <w:w w:val="90"/>
        </w:rPr>
        <w:t>[$5000 1/1/2023]</w:t>
      </w:r>
      <w:bookmarkEnd w:id="1"/>
      <w:r w:rsidRPr="00885200">
        <w:rPr>
          <w:rFonts w:ascii="Gill Sans MT" w:hAnsi="Gill Sans MT" w:cs="Gill Sans MT"/>
          <w:color w:val="231F20"/>
          <w:spacing w:val="17"/>
        </w:rPr>
        <w:t xml:space="preserve"> </w:t>
      </w:r>
      <w:r w:rsidRPr="00885200">
        <w:rPr>
          <w:rFonts w:ascii="Gill Sans MT" w:hAnsi="Gill Sans MT" w:cs="Gill Sans MT"/>
          <w:color w:val="231F20"/>
          <w:w w:val="90"/>
        </w:rPr>
        <w:t>blind</w:t>
      </w:r>
      <w:r w:rsidRPr="00885200">
        <w:rPr>
          <w:rFonts w:ascii="Gill Sans MT" w:hAnsi="Gill Sans MT" w:cs="Gill Sans MT"/>
          <w:color w:val="231F20"/>
          <w:spacing w:val="17"/>
        </w:rPr>
        <w:t xml:space="preserve"> </w:t>
      </w:r>
      <w:r w:rsidRPr="00885200">
        <w:rPr>
          <w:rFonts w:ascii="Gill Sans MT" w:hAnsi="Gill Sans MT" w:cs="Gill Sans MT"/>
          <w:color w:val="231F20"/>
          <w:w w:val="90"/>
        </w:rPr>
        <w:t>exemption</w:t>
      </w:r>
      <w:r w:rsidRPr="00885200">
        <w:rPr>
          <w:rFonts w:ascii="Gill Sans MT" w:hAnsi="Gill Sans MT" w:cs="Gill Sans MT"/>
          <w:color w:val="231F20"/>
          <w:spacing w:val="17"/>
        </w:rPr>
        <w:t xml:space="preserve"> </w:t>
      </w:r>
      <w:r>
        <w:rPr>
          <w:rFonts w:ascii="Gill Sans MT" w:hAnsi="Gill Sans MT" w:cs="Gill Sans MT"/>
          <w:color w:val="231F20"/>
          <w:spacing w:val="17"/>
        </w:rPr>
        <w:t>+</w:t>
      </w:r>
      <w:r w:rsidRPr="00885200">
        <w:rPr>
          <w:rFonts w:ascii="Gill Sans MT" w:hAnsi="Gill Sans MT" w:cs="Gill Sans MT"/>
          <w:color w:val="231F20"/>
          <w:w w:val="90"/>
        </w:rPr>
        <w:t>$500</w:t>
      </w:r>
      <w:r>
        <w:rPr>
          <w:rFonts w:ascii="Gill Sans MT" w:hAnsi="Gill Sans MT" w:cs="Gill Sans MT"/>
          <w:color w:val="FF0000"/>
          <w:w w:val="90"/>
        </w:rPr>
        <w:t xml:space="preserve"> [$5000 1/1/2023]</w:t>
      </w:r>
      <w:r w:rsidRPr="00885200">
        <w:rPr>
          <w:rFonts w:ascii="Gill Sans MT" w:hAnsi="Gill Sans MT" w:cs="Gill Sans MT"/>
          <w:color w:val="231F20"/>
          <w:spacing w:val="17"/>
        </w:rPr>
        <w:t xml:space="preserve"> </w:t>
      </w:r>
      <w:r w:rsidRPr="00885200">
        <w:rPr>
          <w:rFonts w:ascii="Gill Sans MT" w:hAnsi="Gill Sans MT" w:cs="Gill Sans MT"/>
          <w:color w:val="231F20"/>
          <w:w w:val="90"/>
        </w:rPr>
        <w:t>surviving</w:t>
      </w:r>
      <w:r w:rsidRPr="00885200">
        <w:rPr>
          <w:rFonts w:ascii="Gill Sans MT" w:hAnsi="Gill Sans MT" w:cs="Gill Sans MT"/>
          <w:color w:val="231F20"/>
          <w:spacing w:val="17"/>
        </w:rPr>
        <w:t xml:space="preserve"> </w:t>
      </w:r>
      <w:r w:rsidRPr="00885200">
        <w:rPr>
          <w:rFonts w:ascii="Gill Sans MT" w:hAnsi="Gill Sans MT" w:cs="Gill Sans MT"/>
          <w:color w:val="231F20"/>
          <w:w w:val="90"/>
        </w:rPr>
        <w:t>spouse</w:t>
      </w:r>
      <w:r w:rsidRPr="00885200">
        <w:rPr>
          <w:rFonts w:ascii="Gill Sans MT" w:hAnsi="Gill Sans MT" w:cs="Gill Sans MT"/>
          <w:color w:val="231F20"/>
          <w:spacing w:val="21"/>
        </w:rPr>
        <w:t xml:space="preserve"> </w:t>
      </w:r>
      <w:r w:rsidRPr="00885200">
        <w:rPr>
          <w:rFonts w:ascii="Gill Sans MT" w:hAnsi="Gill Sans MT" w:cs="Gill Sans MT"/>
          <w:color w:val="231F20"/>
          <w:w w:val="90"/>
        </w:rPr>
        <w:t>exemption</w:t>
      </w:r>
      <w:r w:rsidRPr="00885200">
        <w:rPr>
          <w:rFonts w:ascii="Gill Sans MT" w:hAnsi="Gill Sans MT" w:cs="Gill Sans MT"/>
          <w:color w:val="231F20"/>
          <w:spacing w:val="17"/>
        </w:rPr>
        <w:t xml:space="preserve"> </w:t>
      </w:r>
      <w:r w:rsidRPr="00885200">
        <w:rPr>
          <w:rFonts w:ascii="Gill Sans MT" w:hAnsi="Gill Sans MT" w:cs="Gill Sans MT"/>
          <w:color w:val="231F20"/>
          <w:w w:val="90"/>
        </w:rPr>
        <w:t>=</w:t>
      </w:r>
      <w:r w:rsidRPr="00885200">
        <w:rPr>
          <w:rFonts w:ascii="Gill Sans MT" w:hAnsi="Gill Sans MT" w:cs="Gill Sans MT"/>
          <w:color w:val="231F20"/>
          <w:spacing w:val="17"/>
        </w:rPr>
        <w:t xml:space="preserve"> </w:t>
      </w:r>
      <w:r w:rsidRPr="00885200">
        <w:rPr>
          <w:rFonts w:ascii="Gill Sans MT" w:hAnsi="Gill Sans MT" w:cs="Gill Sans MT"/>
          <w:color w:val="231F20"/>
          <w:w w:val="90"/>
        </w:rPr>
        <w:t>$</w:t>
      </w:r>
      <w:r>
        <w:rPr>
          <w:rFonts w:ascii="Gill Sans MT" w:hAnsi="Gill Sans MT" w:cs="Gill Sans MT"/>
          <w:color w:val="231F20"/>
          <w:w w:val="90"/>
        </w:rPr>
        <w:t xml:space="preserve">51,000 </w:t>
      </w:r>
      <w:r>
        <w:rPr>
          <w:rFonts w:ascii="Gill Sans MT" w:hAnsi="Gill Sans MT" w:cs="Gill Sans MT"/>
          <w:color w:val="FF0000"/>
          <w:w w:val="90"/>
        </w:rPr>
        <w:t>[$60,000 1/1/2023]</w:t>
      </w:r>
      <w:r w:rsidRPr="00885200">
        <w:rPr>
          <w:rFonts w:ascii="Gill Sans MT" w:hAnsi="Gill Sans MT" w:cs="Gill Sans MT"/>
          <w:color w:val="231F20"/>
          <w:spacing w:val="17"/>
        </w:rPr>
        <w:t xml:space="preserve"> </w:t>
      </w:r>
    </w:p>
    <w:p w:rsidR="000F03D5" w:rsidRDefault="000F03D5" w:rsidP="000F03D5">
      <w:pPr>
        <w:rPr>
          <w:rFonts w:cstheme="minorHAnsi"/>
        </w:rPr>
      </w:pPr>
    </w:p>
    <w:p w:rsidR="000F03D5" w:rsidRDefault="000F03D5" w:rsidP="000F03D5">
      <w:pPr>
        <w:autoSpaceDE w:val="0"/>
        <w:autoSpaceDN w:val="0"/>
        <w:adjustRightInd w:val="0"/>
        <w:rPr>
          <w:rFonts w:ascii="GoudyStd" w:hAnsi="GoudyStd" w:cs="GoudyStd"/>
        </w:rPr>
      </w:pPr>
      <w:r>
        <w:rPr>
          <w:rFonts w:cstheme="minorHAnsi"/>
        </w:rPr>
        <w:t xml:space="preserve">Page 424, Summary of Important points, line 15, </w:t>
      </w:r>
      <w:r>
        <w:rPr>
          <w:rFonts w:ascii="GoudyStd" w:hAnsi="GoudyStd" w:cs="GoudyStd"/>
        </w:rPr>
        <w:t>An additional $500</w:t>
      </w:r>
      <w:r>
        <w:rPr>
          <w:rFonts w:ascii="GoudyStd" w:hAnsi="GoudyStd" w:cs="GoudyStd"/>
          <w:color w:val="FF0000"/>
        </w:rPr>
        <w:t xml:space="preserve"> [$5,000 after 1/1/2023]</w:t>
      </w:r>
      <w:r>
        <w:rPr>
          <w:rFonts w:ascii="GoudyStd" w:hAnsi="GoudyStd" w:cs="GoudyStd"/>
        </w:rPr>
        <w:t xml:space="preserve"> exemption from the assessed value of homesteaded property is available to widows and widowers, legally blind persons and nonveterans who are totally and permanently disabled.</w:t>
      </w:r>
    </w:p>
    <w:p w:rsidR="000F03D5" w:rsidRDefault="000F03D5" w:rsidP="000F03D5">
      <w:pPr>
        <w:autoSpaceDE w:val="0"/>
        <w:autoSpaceDN w:val="0"/>
        <w:adjustRightInd w:val="0"/>
        <w:rPr>
          <w:rFonts w:ascii="GoudyStd" w:hAnsi="GoudyStd" w:cs="GoudyStd"/>
        </w:rPr>
      </w:pPr>
    </w:p>
    <w:p w:rsidR="000F03D5" w:rsidRDefault="000F03D5" w:rsidP="000F03D5">
      <w:pPr>
        <w:rPr>
          <w:rFonts w:cstheme="minorHAnsi"/>
        </w:rPr>
      </w:pPr>
    </w:p>
    <w:p w:rsidR="000F03D5" w:rsidRPr="007C0232" w:rsidRDefault="000F03D5" w:rsidP="00B261C9">
      <w:pPr>
        <w:tabs>
          <w:tab w:val="left" w:pos="1800"/>
        </w:tabs>
        <w:autoSpaceDE w:val="0"/>
        <w:autoSpaceDN w:val="0"/>
        <w:adjustRightInd w:val="0"/>
        <w:rPr>
          <w:rFonts w:ascii="Times New Roman" w:hAnsi="Times New Roman"/>
        </w:rPr>
      </w:pPr>
    </w:p>
    <w:sectPr w:rsidR="000F03D5"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Std">
    <w:altName w:val="Yu Gothic"/>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oudy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8F2596" w:rsidP="0094174A">
    <w:pPr>
      <w:pStyle w:val="Header"/>
      <w:jc w:val="right"/>
      <w:rPr>
        <w:rFonts w:ascii="Arial" w:hAnsi="Arial" w:cs="Arial"/>
        <w:i/>
        <w:sz w:val="20"/>
        <w:szCs w:val="20"/>
      </w:rPr>
    </w:pPr>
    <w:r w:rsidRPr="008F2596">
      <w:rPr>
        <w:rFonts w:ascii="Arial" w:hAnsi="Arial" w:cs="Arial"/>
        <w:i/>
        <w:sz w:val="20"/>
        <w:szCs w:val="20"/>
      </w:rPr>
      <w:t>Florida Real Estate Principles, Practice, and Law 45</w:t>
    </w:r>
    <w:r w:rsidRPr="008F2596">
      <w:rPr>
        <w:rFonts w:ascii="Arial" w:hAnsi="Arial" w:cs="Arial"/>
        <w:i/>
        <w:sz w:val="20"/>
        <w:szCs w:val="20"/>
        <w:vertAlign w:val="superscript"/>
      </w:rPr>
      <w:t>th</w:t>
    </w:r>
    <w:r w:rsidRPr="008F2596">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0F03D5"/>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8F2596"/>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DACF7"/>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2931</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2023-02-07T20:53:00Z</dcterms:created>
  <dcterms:modified xsi:type="dcterms:W3CDTF">2023-02-07T20:53:00Z</dcterms:modified>
</cp:coreProperties>
</file>