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15586" w:rsidRPr="00E15586">
        <w:rPr>
          <w:rFonts w:ascii="Times New Roman" w:hAnsi="Times New Roman"/>
          <w:i/>
        </w:rPr>
        <w:t>Connecticut Real Estate Practice &amp; Law, 15E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3 Broker</w:t>
            </w:r>
          </w:p>
        </w:tc>
        <w:tc>
          <w:tcPr>
            <w:tcW w:w="3033"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 must hold either a broker or salesperson license, with licensed brokers owning at least 51% of the entity</w:t>
            </w:r>
            <w:r>
              <w:rPr>
                <w:rFonts w:ascii="Times New Roman" w:hAnsi="Times New Roman"/>
              </w:rPr>
              <w:t>.</w:t>
            </w:r>
          </w:p>
        </w:tc>
        <w:tc>
          <w:tcPr>
            <w:tcW w:w="3106"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w:t>
            </w:r>
            <w:r>
              <w:rPr>
                <w:rFonts w:ascii="Times New Roman" w:hAnsi="Times New Roman"/>
              </w:rPr>
              <w:t xml:space="preserve"> </w:t>
            </w:r>
            <w:r w:rsidRPr="000A5EBC">
              <w:rPr>
                <w:rFonts w:ascii="Times New Roman" w:hAnsi="Times New Roman"/>
                <w:color w:val="FF0000"/>
              </w:rPr>
              <w:t>who engage in the real estate brokerage business</w:t>
            </w:r>
            <w:r w:rsidRPr="000A5EBC">
              <w:rPr>
                <w:rFonts w:ascii="Times New Roman" w:hAnsi="Times New Roman"/>
              </w:rPr>
              <w:t xml:space="preserve"> must hold either a broker or salesperson license, with licensed brokers owning at least 51% of the entity</w:t>
            </w:r>
          </w:p>
        </w:tc>
      </w:tr>
      <w:tr w:rsidR="00B261C9" w:rsidRPr="00B261C9" w:rsidTr="00B261C9">
        <w:trPr>
          <w:trHeight w:val="150"/>
          <w:jc w:val="center"/>
        </w:trPr>
        <w:tc>
          <w:tcPr>
            <w:tcW w:w="3181"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p. 9 Disclosure of Agency to Unrepresented Persons</w:t>
            </w:r>
          </w:p>
        </w:tc>
        <w:tc>
          <w:tcPr>
            <w:tcW w:w="3033"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Note that changes regarding this legislative decision were recently made effective January 1, 2020</w:t>
            </w:r>
          </w:p>
        </w:tc>
        <w:tc>
          <w:tcPr>
            <w:tcW w:w="3106"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Deleted</w:t>
            </w:r>
          </w:p>
        </w:tc>
      </w:tr>
      <w:tr w:rsidR="00E15586" w:rsidRPr="00B261C9" w:rsidTr="00B261C9">
        <w:trPr>
          <w:trHeight w:val="150"/>
          <w:jc w:val="center"/>
        </w:trPr>
        <w:tc>
          <w:tcPr>
            <w:tcW w:w="3181" w:type="dxa"/>
          </w:tcPr>
          <w:p w:rsidR="00E15586" w:rsidRDefault="00E15586" w:rsidP="00B261C9">
            <w:pPr>
              <w:tabs>
                <w:tab w:val="left" w:pos="1800"/>
              </w:tabs>
              <w:autoSpaceDE w:val="0"/>
              <w:autoSpaceDN w:val="0"/>
              <w:adjustRightInd w:val="0"/>
              <w:rPr>
                <w:rFonts w:ascii="Times New Roman" w:hAnsi="Times New Roman"/>
              </w:rPr>
            </w:pPr>
            <w:r>
              <w:rPr>
                <w:rFonts w:ascii="Times New Roman" w:hAnsi="Times New Roman"/>
              </w:rPr>
              <w:t>p. 10 Disclosure of Agency to Unrepresented Persons</w:t>
            </w:r>
          </w:p>
        </w:tc>
        <w:tc>
          <w:tcPr>
            <w:tcW w:w="3033"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This disclosure must be given before the buyer or tenant signs the purchase contract or lease.</w:t>
            </w:r>
          </w:p>
        </w:tc>
        <w:tc>
          <w:tcPr>
            <w:tcW w:w="3106"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 xml:space="preserve">This disclosure must be given </w:t>
            </w:r>
            <w:r w:rsidRPr="00E15586">
              <w:rPr>
                <w:rFonts w:ascii="Times New Roman" w:hAnsi="Times New Roman"/>
              </w:rPr>
              <w:t>at the beginning of the first personal meeting concerning the unrepresented party's needs.</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26</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t xml:space="preserve">B. </w:t>
            </w:r>
            <w:r w:rsidRPr="000A5EBC">
              <w:rPr>
                <w:rFonts w:ascii="Times New Roman" w:hAnsi="Times New Roman"/>
              </w:rPr>
              <w:t xml:space="preserve">all owners of the LLC have either a broker or salesperson </w:t>
            </w:r>
            <w:r w:rsidRPr="000A5EBC">
              <w:rPr>
                <w:rFonts w:ascii="Times New Roman" w:hAnsi="Times New Roman"/>
              </w:rPr>
              <w:lastRenderedPageBreak/>
              <w:t>license, and a majority of the entity is owned by brokers.</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lastRenderedPageBreak/>
              <w:t xml:space="preserve">B. </w:t>
            </w:r>
            <w:r w:rsidRPr="000A5EBC">
              <w:rPr>
                <w:rFonts w:ascii="Times New Roman" w:hAnsi="Times New Roman"/>
              </w:rPr>
              <w:t xml:space="preserve">all </w:t>
            </w:r>
            <w:r w:rsidRPr="000A5EBC">
              <w:rPr>
                <w:rFonts w:ascii="Times New Roman" w:hAnsi="Times New Roman"/>
                <w:color w:val="FF0000"/>
              </w:rPr>
              <w:t xml:space="preserve">active </w:t>
            </w:r>
            <w:r w:rsidRPr="000A5EBC">
              <w:rPr>
                <w:rFonts w:ascii="Times New Roman" w:hAnsi="Times New Roman"/>
              </w:rPr>
              <w:t xml:space="preserve">owners of the LLC have either a broker or </w:t>
            </w:r>
            <w:r w:rsidRPr="000A5EBC">
              <w:rPr>
                <w:rFonts w:ascii="Times New Roman" w:hAnsi="Times New Roman"/>
              </w:rPr>
              <w:lastRenderedPageBreak/>
              <w:t>salesperson license, and a majority of the entity is owned by brokers.</w:t>
            </w:r>
          </w:p>
        </w:tc>
      </w:tr>
      <w:tr w:rsidR="008462C0" w:rsidRPr="00B261C9" w:rsidTr="00B261C9">
        <w:trPr>
          <w:trHeight w:val="150"/>
          <w:jc w:val="center"/>
        </w:trPr>
        <w:tc>
          <w:tcPr>
            <w:tcW w:w="3181" w:type="dxa"/>
          </w:tcPr>
          <w:p w:rsidR="008462C0" w:rsidRDefault="008462C0" w:rsidP="00B261C9">
            <w:pPr>
              <w:tabs>
                <w:tab w:val="left" w:pos="1800"/>
              </w:tabs>
              <w:autoSpaceDE w:val="0"/>
              <w:autoSpaceDN w:val="0"/>
              <w:adjustRightInd w:val="0"/>
              <w:rPr>
                <w:rFonts w:ascii="Times New Roman" w:hAnsi="Times New Roman"/>
              </w:rPr>
            </w:pPr>
            <w:r>
              <w:rPr>
                <w:rFonts w:ascii="Times New Roman" w:hAnsi="Times New Roman"/>
              </w:rPr>
              <w:lastRenderedPageBreak/>
              <w:t>p. 131 Learning Objectives</w:t>
            </w:r>
          </w:p>
        </w:tc>
        <w:tc>
          <w:tcPr>
            <w:tcW w:w="3033"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Identify activities that would result in a suspension of 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c>
          <w:tcPr>
            <w:tcW w:w="3106"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 xml:space="preserve">Identify activities that would result in a suspension </w:t>
            </w:r>
            <w:r>
              <w:rPr>
                <w:rFonts w:ascii="Times New Roman" w:hAnsi="Times New Roman"/>
                <w:color w:val="FF0000"/>
              </w:rPr>
              <w:t>or</w:t>
            </w:r>
            <w:r w:rsidRPr="008462C0">
              <w:rPr>
                <w:rFonts w:ascii="Times New Roman" w:hAnsi="Times New Roman"/>
                <w:color w:val="FF0000"/>
              </w:rPr>
              <w:t xml:space="preserve"> </w:t>
            </w:r>
            <w:r w:rsidRPr="008462C0">
              <w:rPr>
                <w:rFonts w:ascii="Times New Roman" w:hAnsi="Times New Roman"/>
              </w:rPr>
              <w:t>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259 Unit 1 Quiz Answer Key</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(3) A legal entity that engages in the real estate business in Connecticut must hold a valid broker’s license. The majority of ownership in the entity must be held by Connecticut licensed brokers, and all owners must hold either a Connecticut broker’s or salesperson’s license.</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 xml:space="preserve">(3) A legal entity that engages in the real estate business in Connecticut must hold a valid broker’s license. The majority of ownership in the entity must be held by Connecticut licensed brokers, and all </w:t>
            </w:r>
            <w:r w:rsidRPr="000A5EBC">
              <w:rPr>
                <w:rFonts w:ascii="Times New Roman" w:hAnsi="Times New Roman"/>
                <w:color w:val="FF0000"/>
              </w:rPr>
              <w:t xml:space="preserve">active </w:t>
            </w:r>
            <w:r w:rsidRPr="000A5EBC">
              <w:rPr>
                <w:rFonts w:ascii="Times New Roman" w:hAnsi="Times New Roman"/>
              </w:rPr>
              <w:t>owners must hold either a Connecticut broker’s or salesperson’s license.</w:t>
            </w:r>
          </w:p>
        </w:tc>
      </w:tr>
    </w:tbl>
    <w:p w:rsidR="00173F59" w:rsidRDefault="00AA6B43" w:rsidP="00B261C9">
      <w:pPr>
        <w:tabs>
          <w:tab w:val="left" w:pos="1800"/>
        </w:tabs>
        <w:autoSpaceDE w:val="0"/>
        <w:autoSpaceDN w:val="0"/>
        <w:adjustRightInd w:val="0"/>
        <w:rPr>
          <w:rFonts w:ascii="Times New Roman" w:hAnsi="Times New Roman"/>
          <w:b/>
        </w:rPr>
      </w:pPr>
      <w:r w:rsidRPr="00AA6B43">
        <w:rPr>
          <w:rFonts w:ascii="Times New Roman" w:hAnsi="Times New Roman"/>
          <w:b/>
        </w:rPr>
        <w:t xml:space="preserve">Third Revision </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AA6B43" w:rsidRPr="00B261C9" w:rsidTr="00494EC1">
        <w:trPr>
          <w:trHeight w:val="144"/>
          <w:jc w:val="center"/>
        </w:trPr>
        <w:tc>
          <w:tcPr>
            <w:tcW w:w="3181"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A6B43" w:rsidRPr="00B261C9" w:rsidTr="00494EC1">
        <w:trPr>
          <w:trHeight w:val="150"/>
          <w:jc w:val="center"/>
        </w:trPr>
        <w:tc>
          <w:tcPr>
            <w:tcW w:w="3181" w:type="dxa"/>
          </w:tcPr>
          <w:p w:rsidR="00AA6B43" w:rsidRDefault="0031655B" w:rsidP="00494EC1">
            <w:pPr>
              <w:tabs>
                <w:tab w:val="left" w:pos="1800"/>
              </w:tabs>
              <w:autoSpaceDE w:val="0"/>
              <w:autoSpaceDN w:val="0"/>
              <w:adjustRightInd w:val="0"/>
              <w:rPr>
                <w:rFonts w:ascii="Times New Roman" w:hAnsi="Times New Roman"/>
              </w:rPr>
            </w:pPr>
            <w:r>
              <w:rPr>
                <w:rFonts w:ascii="Times New Roman" w:hAnsi="Times New Roman"/>
              </w:rPr>
              <w:t>p. 27 question 10</w:t>
            </w:r>
          </w:p>
        </w:tc>
        <w:tc>
          <w:tcPr>
            <w:tcW w:w="3033" w:type="dxa"/>
          </w:tcPr>
          <w:p w:rsidR="00AA6B43" w:rsidRDefault="00AA6B43" w:rsidP="00494EC1">
            <w:pPr>
              <w:tabs>
                <w:tab w:val="left" w:pos="1800"/>
              </w:tabs>
              <w:autoSpaceDE w:val="0"/>
              <w:autoSpaceDN w:val="0"/>
              <w:adjustRightInd w:val="0"/>
              <w:rPr>
                <w:rFonts w:ascii="Times New Roman" w:hAnsi="Times New Roman"/>
              </w:rPr>
            </w:pPr>
          </w:p>
        </w:tc>
        <w:tc>
          <w:tcPr>
            <w:tcW w:w="3106" w:type="dxa"/>
          </w:tcPr>
          <w:p w:rsidR="00AA6B43" w:rsidRDefault="00AA6B43" w:rsidP="00494EC1">
            <w:pPr>
              <w:tabs>
                <w:tab w:val="left" w:pos="1800"/>
              </w:tabs>
              <w:autoSpaceDE w:val="0"/>
              <w:autoSpaceDN w:val="0"/>
              <w:adjustRightInd w:val="0"/>
              <w:rPr>
                <w:rFonts w:ascii="Times New Roman" w:hAnsi="Times New Roman"/>
              </w:rPr>
            </w:pPr>
          </w:p>
        </w:tc>
      </w:tr>
      <w:tr w:rsidR="00AA6B43" w:rsidRPr="00B261C9" w:rsidTr="00494EC1">
        <w:trPr>
          <w:trHeight w:val="150"/>
          <w:jc w:val="center"/>
        </w:trPr>
        <w:tc>
          <w:tcPr>
            <w:tcW w:w="3181" w:type="dxa"/>
          </w:tcPr>
          <w:p w:rsidR="00AA6B43" w:rsidRPr="00AF33C8" w:rsidRDefault="00AA6B43" w:rsidP="00494EC1">
            <w:pPr>
              <w:tabs>
                <w:tab w:val="left" w:pos="1800"/>
              </w:tabs>
              <w:autoSpaceDE w:val="0"/>
              <w:autoSpaceDN w:val="0"/>
              <w:adjustRightInd w:val="0"/>
              <w:rPr>
                <w:rFonts w:ascii="Times New Roman" w:hAnsi="Times New Roman"/>
              </w:rPr>
            </w:pPr>
            <w:r>
              <w:rPr>
                <w:rFonts w:ascii="Times New Roman" w:hAnsi="Times New Roman"/>
              </w:rPr>
              <w:t>p.138 Licensing Corporations and Other Entities</w:t>
            </w:r>
          </w:p>
        </w:tc>
        <w:tc>
          <w:tcPr>
            <w:tcW w:w="3033" w:type="dxa"/>
          </w:tcPr>
          <w:p w:rsidR="00AA6B43" w:rsidRPr="00AF33C8" w:rsidRDefault="00AA6B43" w:rsidP="00082C09">
            <w:pPr>
              <w:tabs>
                <w:tab w:val="left" w:pos="1800"/>
              </w:tabs>
              <w:autoSpaceDE w:val="0"/>
              <w:autoSpaceDN w:val="0"/>
              <w:adjustRightInd w:val="0"/>
              <w:rPr>
                <w:rFonts w:ascii="Times New Roman" w:hAnsi="Times New Roman"/>
              </w:rPr>
            </w:pPr>
            <w:r w:rsidRPr="00AA6B43">
              <w:rPr>
                <w:rFonts w:ascii="Adobe Garamond Pro" w:hAnsi="Adobe Garamond Pro" w:cs="Adobe Garamond Pro"/>
                <w:color w:val="211D1E"/>
                <w:sz w:val="22"/>
                <w:szCs w:val="22"/>
              </w:rPr>
              <w:t xml:space="preserve">To be eligible for a broker’s license, all active owners, members, partners, and officers in the business entity must be licensed as a salesperson or a broker, and 51% </w:t>
            </w:r>
            <w:r w:rsidRPr="00082C09">
              <w:rPr>
                <w:rFonts w:ascii="Adobe Garamond Pro" w:hAnsi="Adobe Garamond Pro" w:cs="Adobe Garamond Pro"/>
                <w:strike/>
                <w:color w:val="211D1E"/>
                <w:sz w:val="22"/>
                <w:szCs w:val="22"/>
              </w:rPr>
              <w:t>or more</w:t>
            </w:r>
            <w:r w:rsidRPr="00AA6B43">
              <w:rPr>
                <w:rFonts w:ascii="Adobe Garamond Pro" w:hAnsi="Adobe Garamond Pro" w:cs="Adobe Garamond Pro"/>
                <w:color w:val="211D1E"/>
                <w:sz w:val="22"/>
                <w:szCs w:val="22"/>
              </w:rPr>
              <w:t xml:space="preserve"> of those individuals who own or control the entity must be licensed brokers. </w:t>
            </w:r>
          </w:p>
        </w:tc>
        <w:tc>
          <w:tcPr>
            <w:tcW w:w="3106" w:type="dxa"/>
          </w:tcPr>
          <w:p w:rsidR="00AA6B43" w:rsidRPr="00AF33C8" w:rsidRDefault="00082C09" w:rsidP="00082C09">
            <w:pPr>
              <w:tabs>
                <w:tab w:val="left" w:pos="1800"/>
              </w:tabs>
              <w:autoSpaceDE w:val="0"/>
              <w:autoSpaceDN w:val="0"/>
              <w:adjustRightInd w:val="0"/>
              <w:rPr>
                <w:rFonts w:ascii="Times New Roman" w:hAnsi="Times New Roman"/>
              </w:rPr>
            </w:pPr>
            <w:r w:rsidRPr="00AA6B43">
              <w:rPr>
                <w:rFonts w:ascii="Adobe Garamond Pro" w:hAnsi="Adobe Garamond Pro" w:cs="Adobe Garamond Pro"/>
                <w:color w:val="211D1E"/>
                <w:sz w:val="22"/>
                <w:szCs w:val="22"/>
              </w:rPr>
              <w:t xml:space="preserve">To be eligible for a broker’s license, all active owners, members, partners, and officers in the business entity must be licensed as a salesperson or a broker, and </w:t>
            </w:r>
            <w:r w:rsidRPr="00082C09">
              <w:rPr>
                <w:rFonts w:ascii="Adobe Garamond Pro" w:hAnsi="Adobe Garamond Pro" w:cs="Adobe Garamond Pro"/>
                <w:color w:val="211D1E"/>
                <w:sz w:val="22"/>
                <w:szCs w:val="22"/>
                <w:highlight w:val="yellow"/>
              </w:rPr>
              <w:t>at least 51%</w:t>
            </w:r>
            <w:r w:rsidRPr="00AA6B43">
              <w:rPr>
                <w:rFonts w:ascii="Adobe Garamond Pro" w:hAnsi="Adobe Garamond Pro" w:cs="Adobe Garamond Pro"/>
                <w:color w:val="211D1E"/>
                <w:sz w:val="22"/>
                <w:szCs w:val="22"/>
              </w:rPr>
              <w:t xml:space="preserve"> of those individuals who own or control the entity must be licensed brokers.</w:t>
            </w:r>
          </w:p>
        </w:tc>
      </w:tr>
      <w:tr w:rsidR="00AA6B43" w:rsidRPr="00B261C9" w:rsidTr="00494EC1">
        <w:trPr>
          <w:trHeight w:val="150"/>
          <w:jc w:val="center"/>
        </w:trPr>
        <w:tc>
          <w:tcPr>
            <w:tcW w:w="3181" w:type="dxa"/>
          </w:tcPr>
          <w:p w:rsidR="00AA6B43" w:rsidRDefault="0031655B" w:rsidP="00494EC1">
            <w:pPr>
              <w:tabs>
                <w:tab w:val="left" w:pos="1800"/>
              </w:tabs>
              <w:autoSpaceDE w:val="0"/>
              <w:autoSpaceDN w:val="0"/>
              <w:adjustRightInd w:val="0"/>
              <w:rPr>
                <w:rFonts w:ascii="Times New Roman" w:hAnsi="Times New Roman"/>
              </w:rPr>
            </w:pPr>
            <w:r>
              <w:rPr>
                <w:rFonts w:ascii="Times New Roman" w:hAnsi="Times New Roman"/>
              </w:rPr>
              <w:t>p. 259 Unit 1 Answer Key, question 10</w:t>
            </w:r>
          </w:p>
        </w:tc>
        <w:tc>
          <w:tcPr>
            <w:tcW w:w="3033" w:type="dxa"/>
          </w:tcPr>
          <w:p w:rsidR="0031655B" w:rsidRPr="0031655B" w:rsidRDefault="0031655B" w:rsidP="0031655B">
            <w:pPr>
              <w:autoSpaceDE w:val="0"/>
              <w:autoSpaceDN w:val="0"/>
              <w:adjustRightInd w:val="0"/>
              <w:rPr>
                <w:rFonts w:ascii="Adobe Garamond Pro" w:hAnsi="Adobe Garamond Pro"/>
                <w:color w:val="211D1E"/>
                <w:sz w:val="20"/>
                <w:szCs w:val="20"/>
              </w:rPr>
            </w:pPr>
            <w:r>
              <w:rPr>
                <w:rFonts w:ascii="Adobe Garamond Pro" w:hAnsi="Adobe Garamond Pro"/>
                <w:color w:val="211D1E"/>
                <w:sz w:val="20"/>
                <w:szCs w:val="20"/>
              </w:rPr>
              <w:t>(</w:t>
            </w:r>
            <w:r w:rsidRPr="0031655B">
              <w:rPr>
                <w:rFonts w:ascii="Adobe Garamond Pro" w:hAnsi="Adobe Garamond Pro"/>
                <w:color w:val="211D1E"/>
                <w:sz w:val="20"/>
                <w:szCs w:val="20"/>
              </w:rPr>
              <w:t xml:space="preserve">8) </w:t>
            </w:r>
            <w:r w:rsidRPr="0031655B">
              <w:rPr>
                <w:rFonts w:ascii="Adobe Garamond Pro" w:hAnsi="Adobe Garamond Pro"/>
                <w:strike/>
                <w:color w:val="211D1E"/>
                <w:sz w:val="20"/>
                <w:szCs w:val="20"/>
              </w:rPr>
              <w:t>Sal is not a dual agent because</w:t>
            </w:r>
            <w:r w:rsidRPr="0031655B">
              <w:rPr>
                <w:rFonts w:ascii="Adobe Garamond Pro" w:hAnsi="Adobe Garamond Pro"/>
                <w:color w:val="211D1E"/>
                <w:sz w:val="20"/>
                <w:szCs w:val="20"/>
              </w:rPr>
              <w:t xml:space="preserve"> Sal no longer represents the seller. But because the seller was a former client, Sal must keep the seller’s personal information that was obtained during the former agency relationship confidential. Information about the physical condition of the property is not confidential, but information about prior offers is confidential.</w:t>
            </w:r>
          </w:p>
          <w:p w:rsidR="00AA6B43" w:rsidRPr="00AF33C8" w:rsidRDefault="00AA6B43" w:rsidP="00494EC1">
            <w:pPr>
              <w:tabs>
                <w:tab w:val="left" w:pos="1800"/>
              </w:tabs>
              <w:autoSpaceDE w:val="0"/>
              <w:autoSpaceDN w:val="0"/>
              <w:adjustRightInd w:val="0"/>
              <w:rPr>
                <w:rFonts w:ascii="Times New Roman" w:hAnsi="Times New Roman"/>
              </w:rPr>
            </w:pPr>
          </w:p>
        </w:tc>
        <w:tc>
          <w:tcPr>
            <w:tcW w:w="3106" w:type="dxa"/>
          </w:tcPr>
          <w:p w:rsidR="0031655B" w:rsidRPr="0031655B" w:rsidRDefault="0031655B" w:rsidP="0031655B">
            <w:pPr>
              <w:autoSpaceDE w:val="0"/>
              <w:autoSpaceDN w:val="0"/>
              <w:adjustRightInd w:val="0"/>
              <w:rPr>
                <w:rFonts w:ascii="Adobe Garamond Pro" w:hAnsi="Adobe Garamond Pro"/>
                <w:color w:val="211D1E"/>
                <w:sz w:val="20"/>
                <w:szCs w:val="20"/>
              </w:rPr>
            </w:pPr>
            <w:bookmarkStart w:id="0" w:name="_GoBack"/>
            <w:bookmarkEnd w:id="0"/>
            <w:r w:rsidRPr="0031655B">
              <w:rPr>
                <w:rFonts w:ascii="Adobe Garamond Pro" w:hAnsi="Adobe Garamond Pro"/>
                <w:color w:val="211D1E"/>
                <w:sz w:val="20"/>
                <w:szCs w:val="20"/>
              </w:rPr>
              <w:t>Sal no longer represents the seller. But because the seller was a former client, Sal must keep the seller’s personal information that was obtained during the former agency relationship confidential. Information about the physical condition of the property is not confidential, but information about prior offers is confidential.</w:t>
            </w:r>
          </w:p>
          <w:p w:rsidR="00AA6B43" w:rsidRPr="00AF33C8" w:rsidRDefault="00AA6B43" w:rsidP="00494EC1">
            <w:pPr>
              <w:tabs>
                <w:tab w:val="left" w:pos="1800"/>
              </w:tabs>
              <w:autoSpaceDE w:val="0"/>
              <w:autoSpaceDN w:val="0"/>
              <w:adjustRightInd w:val="0"/>
              <w:rPr>
                <w:rFonts w:ascii="Times New Roman" w:hAnsi="Times New Roman"/>
              </w:rPr>
            </w:pPr>
          </w:p>
        </w:tc>
      </w:tr>
      <w:tr w:rsidR="00AA6B43" w:rsidRPr="00B261C9" w:rsidTr="00494EC1">
        <w:trPr>
          <w:trHeight w:val="150"/>
          <w:jc w:val="center"/>
        </w:trPr>
        <w:tc>
          <w:tcPr>
            <w:tcW w:w="3181" w:type="dxa"/>
          </w:tcPr>
          <w:p w:rsidR="00AA6B43" w:rsidRDefault="00AA6B43" w:rsidP="00494EC1">
            <w:pPr>
              <w:tabs>
                <w:tab w:val="left" w:pos="1800"/>
              </w:tabs>
              <w:autoSpaceDE w:val="0"/>
              <w:autoSpaceDN w:val="0"/>
              <w:adjustRightInd w:val="0"/>
              <w:rPr>
                <w:rFonts w:ascii="Times New Roman" w:hAnsi="Times New Roman"/>
              </w:rPr>
            </w:pPr>
          </w:p>
        </w:tc>
        <w:tc>
          <w:tcPr>
            <w:tcW w:w="3033" w:type="dxa"/>
          </w:tcPr>
          <w:p w:rsidR="00AA6B43" w:rsidRPr="008462C0" w:rsidRDefault="00AA6B43" w:rsidP="00494EC1">
            <w:pPr>
              <w:tabs>
                <w:tab w:val="left" w:pos="1800"/>
              </w:tabs>
              <w:autoSpaceDE w:val="0"/>
              <w:autoSpaceDN w:val="0"/>
              <w:adjustRightInd w:val="0"/>
              <w:rPr>
                <w:rFonts w:ascii="Times New Roman" w:hAnsi="Times New Roman"/>
              </w:rPr>
            </w:pPr>
          </w:p>
        </w:tc>
        <w:tc>
          <w:tcPr>
            <w:tcW w:w="3106" w:type="dxa"/>
          </w:tcPr>
          <w:p w:rsidR="00AA6B43" w:rsidRPr="008462C0" w:rsidRDefault="00AA6B43" w:rsidP="00494EC1">
            <w:pPr>
              <w:tabs>
                <w:tab w:val="left" w:pos="1800"/>
              </w:tabs>
              <w:autoSpaceDE w:val="0"/>
              <w:autoSpaceDN w:val="0"/>
              <w:adjustRightInd w:val="0"/>
              <w:rPr>
                <w:rFonts w:ascii="Times New Roman" w:hAnsi="Times New Roman"/>
              </w:rPr>
            </w:pPr>
          </w:p>
        </w:tc>
      </w:tr>
      <w:tr w:rsidR="00AA6B43" w:rsidRPr="00B261C9" w:rsidTr="00494EC1">
        <w:trPr>
          <w:trHeight w:val="150"/>
          <w:jc w:val="center"/>
        </w:trPr>
        <w:tc>
          <w:tcPr>
            <w:tcW w:w="3181" w:type="dxa"/>
          </w:tcPr>
          <w:p w:rsidR="00AA6B43" w:rsidRDefault="00AA6B43" w:rsidP="00494EC1">
            <w:pPr>
              <w:tabs>
                <w:tab w:val="left" w:pos="1800"/>
              </w:tabs>
              <w:autoSpaceDE w:val="0"/>
              <w:autoSpaceDN w:val="0"/>
              <w:adjustRightInd w:val="0"/>
              <w:rPr>
                <w:rFonts w:ascii="Times New Roman" w:hAnsi="Times New Roman"/>
              </w:rPr>
            </w:pPr>
          </w:p>
        </w:tc>
        <w:tc>
          <w:tcPr>
            <w:tcW w:w="3033" w:type="dxa"/>
          </w:tcPr>
          <w:p w:rsidR="00AA6B43" w:rsidRDefault="00AA6B43" w:rsidP="00494EC1">
            <w:pPr>
              <w:tabs>
                <w:tab w:val="left" w:pos="1800"/>
              </w:tabs>
              <w:autoSpaceDE w:val="0"/>
              <w:autoSpaceDN w:val="0"/>
              <w:adjustRightInd w:val="0"/>
              <w:rPr>
                <w:rFonts w:ascii="Times New Roman" w:hAnsi="Times New Roman"/>
              </w:rPr>
            </w:pPr>
          </w:p>
        </w:tc>
        <w:tc>
          <w:tcPr>
            <w:tcW w:w="3106" w:type="dxa"/>
          </w:tcPr>
          <w:p w:rsidR="00AA6B43" w:rsidRDefault="00AA6B43" w:rsidP="00494EC1">
            <w:pPr>
              <w:tabs>
                <w:tab w:val="left" w:pos="1800"/>
              </w:tabs>
              <w:autoSpaceDE w:val="0"/>
              <w:autoSpaceDN w:val="0"/>
              <w:adjustRightInd w:val="0"/>
              <w:rPr>
                <w:rFonts w:ascii="Times New Roman" w:hAnsi="Times New Roman"/>
              </w:rPr>
            </w:pPr>
          </w:p>
        </w:tc>
      </w:tr>
      <w:tr w:rsidR="00AA6B43" w:rsidRPr="00B261C9" w:rsidTr="00494EC1">
        <w:trPr>
          <w:trHeight w:val="150"/>
          <w:jc w:val="center"/>
        </w:trPr>
        <w:tc>
          <w:tcPr>
            <w:tcW w:w="3181" w:type="dxa"/>
          </w:tcPr>
          <w:p w:rsidR="00AA6B43" w:rsidRDefault="00AA6B43" w:rsidP="00494EC1">
            <w:pPr>
              <w:tabs>
                <w:tab w:val="left" w:pos="1800"/>
              </w:tabs>
              <w:autoSpaceDE w:val="0"/>
              <w:autoSpaceDN w:val="0"/>
              <w:adjustRightInd w:val="0"/>
              <w:rPr>
                <w:rFonts w:ascii="Times New Roman" w:hAnsi="Times New Roman"/>
              </w:rPr>
            </w:pPr>
          </w:p>
        </w:tc>
        <w:tc>
          <w:tcPr>
            <w:tcW w:w="3033" w:type="dxa"/>
          </w:tcPr>
          <w:p w:rsidR="00AA6B43" w:rsidRPr="008462C0" w:rsidRDefault="00AA6B43" w:rsidP="00494EC1">
            <w:pPr>
              <w:tabs>
                <w:tab w:val="left" w:pos="1800"/>
              </w:tabs>
              <w:autoSpaceDE w:val="0"/>
              <w:autoSpaceDN w:val="0"/>
              <w:adjustRightInd w:val="0"/>
              <w:rPr>
                <w:rFonts w:ascii="Times New Roman" w:hAnsi="Times New Roman"/>
              </w:rPr>
            </w:pPr>
          </w:p>
        </w:tc>
        <w:tc>
          <w:tcPr>
            <w:tcW w:w="3106" w:type="dxa"/>
          </w:tcPr>
          <w:p w:rsidR="00AA6B43" w:rsidRPr="008462C0" w:rsidRDefault="00AA6B43" w:rsidP="00494EC1">
            <w:pPr>
              <w:tabs>
                <w:tab w:val="left" w:pos="1800"/>
              </w:tabs>
              <w:autoSpaceDE w:val="0"/>
              <w:autoSpaceDN w:val="0"/>
              <w:adjustRightInd w:val="0"/>
              <w:rPr>
                <w:rFonts w:ascii="Times New Roman" w:hAnsi="Times New Roman"/>
              </w:rPr>
            </w:pPr>
          </w:p>
        </w:tc>
      </w:tr>
    </w:tbl>
    <w:p w:rsidR="00AA6B43" w:rsidRPr="00AA6B43" w:rsidRDefault="00AA6B43" w:rsidP="00B261C9">
      <w:pPr>
        <w:tabs>
          <w:tab w:val="left" w:pos="1800"/>
        </w:tabs>
        <w:autoSpaceDE w:val="0"/>
        <w:autoSpaceDN w:val="0"/>
        <w:adjustRightInd w:val="0"/>
        <w:rPr>
          <w:rFonts w:ascii="Times New Roman" w:hAnsi="Times New Roman"/>
          <w:b/>
        </w:rPr>
      </w:pPr>
    </w:p>
    <w:sectPr w:rsidR="00AA6B43" w:rsidRPr="00AA6B43"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0B21D8">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15586" w:rsidP="0094174A">
    <w:pPr>
      <w:pStyle w:val="Header"/>
      <w:jc w:val="right"/>
      <w:rPr>
        <w:rFonts w:ascii="Arial" w:hAnsi="Arial" w:cs="Arial"/>
        <w:i/>
        <w:sz w:val="20"/>
        <w:szCs w:val="20"/>
      </w:rPr>
    </w:pPr>
    <w:r w:rsidRPr="00E15586">
      <w:rPr>
        <w:rFonts w:ascii="Arial" w:hAnsi="Arial" w:cs="Arial"/>
        <w:i/>
        <w:sz w:val="20"/>
        <w:szCs w:val="20"/>
      </w:rPr>
      <w:t>Connecticut Real Estate Practice &amp; Law</w:t>
    </w:r>
    <w:r w:rsidR="00414AE1" w:rsidRPr="00E15586">
      <w:rPr>
        <w:rFonts w:ascii="Arial" w:hAnsi="Arial" w:cs="Arial"/>
        <w:i/>
        <w:sz w:val="20"/>
        <w:szCs w:val="20"/>
      </w:rPr>
      <w:t>,</w:t>
    </w:r>
    <w:r w:rsidR="0094174A" w:rsidRPr="00E15586">
      <w:rPr>
        <w:rFonts w:ascii="Arial" w:hAnsi="Arial" w:cs="Arial"/>
        <w:i/>
        <w:sz w:val="20"/>
        <w:szCs w:val="20"/>
      </w:rPr>
      <w:t xml:space="preserve"> </w:t>
    </w:r>
    <w:r w:rsidRPr="00E15586">
      <w:rPr>
        <w:rFonts w:ascii="Arial" w:hAnsi="Arial" w:cs="Arial"/>
        <w:i/>
        <w:sz w:val="20"/>
        <w:szCs w:val="20"/>
      </w:rPr>
      <w:t>15E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82C09"/>
    <w:rsid w:val="00097E04"/>
    <w:rsid w:val="000A5EBC"/>
    <w:rsid w:val="000B21D8"/>
    <w:rsid w:val="000D144B"/>
    <w:rsid w:val="001159C0"/>
    <w:rsid w:val="00173F59"/>
    <w:rsid w:val="001B1E7E"/>
    <w:rsid w:val="002B00B8"/>
    <w:rsid w:val="0031655B"/>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8462C0"/>
    <w:rsid w:val="008C6820"/>
    <w:rsid w:val="00927FB5"/>
    <w:rsid w:val="0094174A"/>
    <w:rsid w:val="0099521C"/>
    <w:rsid w:val="00A410F8"/>
    <w:rsid w:val="00A54C6C"/>
    <w:rsid w:val="00AA6B43"/>
    <w:rsid w:val="00AB5671"/>
    <w:rsid w:val="00AD6786"/>
    <w:rsid w:val="00AF33C8"/>
    <w:rsid w:val="00B261C9"/>
    <w:rsid w:val="00B4617B"/>
    <w:rsid w:val="00BD7C34"/>
    <w:rsid w:val="00BF3FA6"/>
    <w:rsid w:val="00D00B2E"/>
    <w:rsid w:val="00D15438"/>
    <w:rsid w:val="00D70BAC"/>
    <w:rsid w:val="00D815DC"/>
    <w:rsid w:val="00DE2E72"/>
    <w:rsid w:val="00E04CE3"/>
    <w:rsid w:val="00E15586"/>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364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656</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Katherine Bourgeois</cp:lastModifiedBy>
  <cp:revision>8</cp:revision>
  <cp:lastPrinted>2006-08-18T16:15:00Z</cp:lastPrinted>
  <dcterms:created xsi:type="dcterms:W3CDTF">2020-04-16T19:45:00Z</dcterms:created>
  <dcterms:modified xsi:type="dcterms:W3CDTF">2021-02-03T15:22:00Z</dcterms:modified>
</cp:coreProperties>
</file>