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9631FE">
        <w:rPr>
          <w:rFonts w:ascii="Times New Roman" w:hAnsi="Times New Roman"/>
          <w:i/>
        </w:rPr>
        <w:t>Modern Real Estate Practice, 20th Edition</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90140"/>
                    </a:xfrm>
                    <a:prstGeom prst="rect">
                      <a:avLst/>
                    </a:prstGeom>
                  </pic:spPr>
                </pic:pic>
              </a:graphicData>
            </a:graphic>
          </wp:inline>
        </w:drawing>
      </w:r>
    </w:p>
    <w:p w:rsidR="00B261C9" w:rsidRPr="007C0232" w:rsidRDefault="002C272D" w:rsidP="00173F59">
      <w:pPr>
        <w:tabs>
          <w:tab w:val="left" w:pos="1800"/>
        </w:tabs>
        <w:autoSpaceDE w:val="0"/>
        <w:autoSpaceDN w:val="0"/>
        <w:adjustRightInd w:val="0"/>
        <w:rPr>
          <w:rFonts w:ascii="Times New Roman" w:hAnsi="Times New Roman"/>
          <w:b/>
        </w:rPr>
      </w:pPr>
      <w:r>
        <w:rPr>
          <w:rFonts w:ascii="Times New Roman" w:hAnsi="Times New Roman"/>
          <w:b/>
        </w:rPr>
        <w:t>First Printing</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7"/>
        <w:gridCol w:w="3203"/>
        <w:gridCol w:w="3280"/>
      </w:tblGrid>
      <w:tr w:rsidR="00B261C9" w:rsidRPr="00B261C9" w:rsidTr="002C272D">
        <w:trPr>
          <w:trHeight w:val="144"/>
          <w:jc w:val="center"/>
        </w:trPr>
        <w:tc>
          <w:tcPr>
            <w:tcW w:w="3439"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80"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359"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9F5663" w:rsidRPr="00B261C9" w:rsidTr="002C272D">
        <w:trPr>
          <w:trHeight w:val="150"/>
          <w:jc w:val="center"/>
        </w:trPr>
        <w:tc>
          <w:tcPr>
            <w:tcW w:w="3439" w:type="dxa"/>
          </w:tcPr>
          <w:p w:rsidR="009F5663" w:rsidRDefault="009F5663" w:rsidP="00B261C9">
            <w:pPr>
              <w:tabs>
                <w:tab w:val="left" w:pos="1800"/>
              </w:tabs>
              <w:autoSpaceDE w:val="0"/>
              <w:autoSpaceDN w:val="0"/>
              <w:adjustRightInd w:val="0"/>
              <w:rPr>
                <w:rFonts w:ascii="Times New Roman" w:hAnsi="Times New Roman"/>
              </w:rPr>
            </w:pPr>
            <w:r>
              <w:rPr>
                <w:rFonts w:ascii="Times New Roman" w:hAnsi="Times New Roman"/>
              </w:rPr>
              <w:t>121/First full paragraph</w:t>
            </w:r>
          </w:p>
        </w:tc>
        <w:tc>
          <w:tcPr>
            <w:tcW w:w="3280" w:type="dxa"/>
          </w:tcPr>
          <w:p w:rsidR="009F5663" w:rsidRDefault="009F5663" w:rsidP="00B261C9">
            <w:pPr>
              <w:tabs>
                <w:tab w:val="left" w:pos="1800"/>
              </w:tabs>
              <w:autoSpaceDE w:val="0"/>
              <w:autoSpaceDN w:val="0"/>
              <w:adjustRightInd w:val="0"/>
              <w:rPr>
                <w:rFonts w:ascii="Times New Roman" w:hAnsi="Times New Roman"/>
              </w:rPr>
            </w:pPr>
            <w:r>
              <w:rPr>
                <w:rFonts w:ascii="Times New Roman" w:hAnsi="Times New Roman"/>
              </w:rPr>
              <w:t>To be considered the of a sale</w:t>
            </w:r>
          </w:p>
        </w:tc>
        <w:tc>
          <w:tcPr>
            <w:tcW w:w="3359" w:type="dxa"/>
          </w:tcPr>
          <w:p w:rsidR="009F5663" w:rsidRDefault="009F5663" w:rsidP="00B261C9">
            <w:pPr>
              <w:tabs>
                <w:tab w:val="left" w:pos="1800"/>
              </w:tabs>
              <w:autoSpaceDE w:val="0"/>
              <w:autoSpaceDN w:val="0"/>
              <w:adjustRightInd w:val="0"/>
              <w:rPr>
                <w:rFonts w:ascii="Times New Roman" w:hAnsi="Times New Roman"/>
              </w:rPr>
            </w:pPr>
            <w:r>
              <w:rPr>
                <w:rFonts w:ascii="Times New Roman" w:hAnsi="Times New Roman"/>
              </w:rPr>
              <w:t xml:space="preserve">To be considered the </w:t>
            </w:r>
            <w:r w:rsidRPr="009F5663">
              <w:rPr>
                <w:rFonts w:ascii="Times New Roman" w:hAnsi="Times New Roman"/>
                <w:b/>
              </w:rPr>
              <w:t>procuring cause</w:t>
            </w:r>
            <w:r>
              <w:rPr>
                <w:rFonts w:ascii="Times New Roman" w:hAnsi="Times New Roman"/>
              </w:rPr>
              <w:t xml:space="preserve"> of a sale</w:t>
            </w:r>
          </w:p>
        </w:tc>
      </w:tr>
      <w:tr w:rsidR="009F5663" w:rsidRPr="00B261C9" w:rsidTr="002C272D">
        <w:trPr>
          <w:trHeight w:val="150"/>
          <w:jc w:val="center"/>
        </w:trPr>
        <w:tc>
          <w:tcPr>
            <w:tcW w:w="3439" w:type="dxa"/>
          </w:tcPr>
          <w:p w:rsidR="009F5663" w:rsidRDefault="009F5663" w:rsidP="00B261C9">
            <w:pPr>
              <w:tabs>
                <w:tab w:val="left" w:pos="1800"/>
              </w:tabs>
              <w:autoSpaceDE w:val="0"/>
              <w:autoSpaceDN w:val="0"/>
              <w:adjustRightInd w:val="0"/>
              <w:rPr>
                <w:rFonts w:ascii="Times New Roman" w:hAnsi="Times New Roman"/>
              </w:rPr>
            </w:pPr>
            <w:r>
              <w:rPr>
                <w:rFonts w:ascii="Times New Roman" w:hAnsi="Times New Roman"/>
              </w:rPr>
              <w:t>252/Item 4</w:t>
            </w:r>
          </w:p>
        </w:tc>
        <w:tc>
          <w:tcPr>
            <w:tcW w:w="3280" w:type="dxa"/>
          </w:tcPr>
          <w:p w:rsidR="009F5663" w:rsidRDefault="009F5663" w:rsidP="00B261C9">
            <w:pPr>
              <w:tabs>
                <w:tab w:val="left" w:pos="1800"/>
              </w:tabs>
              <w:autoSpaceDE w:val="0"/>
              <w:autoSpaceDN w:val="0"/>
              <w:adjustRightInd w:val="0"/>
              <w:rPr>
                <w:rFonts w:ascii="Times New Roman" w:hAnsi="Times New Roman"/>
              </w:rPr>
            </w:pPr>
            <w:r>
              <w:rPr>
                <w:rFonts w:ascii="Times New Roman" w:hAnsi="Times New Roman"/>
              </w:rPr>
              <w:t>The law providing that a loan applicant who is rejected must be provided with a statement of the reasons for the rejection within 30 days is</w:t>
            </w:r>
          </w:p>
        </w:tc>
        <w:tc>
          <w:tcPr>
            <w:tcW w:w="3359" w:type="dxa"/>
          </w:tcPr>
          <w:p w:rsidR="009F5663" w:rsidRDefault="009F5663" w:rsidP="00B261C9">
            <w:pPr>
              <w:tabs>
                <w:tab w:val="left" w:pos="1800"/>
              </w:tabs>
              <w:autoSpaceDE w:val="0"/>
              <w:autoSpaceDN w:val="0"/>
              <w:adjustRightInd w:val="0"/>
              <w:rPr>
                <w:rFonts w:ascii="Times New Roman" w:hAnsi="Times New Roman"/>
              </w:rPr>
            </w:pPr>
            <w:r w:rsidRPr="009F5663">
              <w:rPr>
                <w:rFonts w:ascii="Times New Roman" w:hAnsi="Times New Roman"/>
              </w:rPr>
              <w:t>One of the federal laws requiring disclosure to a loan applicant who is rejected for a loan on the basis of a credit report is</w:t>
            </w:r>
          </w:p>
        </w:tc>
      </w:tr>
      <w:tr w:rsidR="009F5663" w:rsidRPr="00B261C9" w:rsidTr="002C272D">
        <w:trPr>
          <w:trHeight w:val="150"/>
          <w:jc w:val="center"/>
        </w:trPr>
        <w:tc>
          <w:tcPr>
            <w:tcW w:w="3439" w:type="dxa"/>
          </w:tcPr>
          <w:p w:rsidR="009F5663" w:rsidRDefault="009F5663" w:rsidP="00B261C9">
            <w:pPr>
              <w:tabs>
                <w:tab w:val="left" w:pos="1800"/>
              </w:tabs>
              <w:autoSpaceDE w:val="0"/>
              <w:autoSpaceDN w:val="0"/>
              <w:adjustRightInd w:val="0"/>
              <w:rPr>
                <w:rFonts w:ascii="Times New Roman" w:hAnsi="Times New Roman"/>
              </w:rPr>
            </w:pPr>
            <w:r>
              <w:rPr>
                <w:rFonts w:ascii="Times New Roman" w:hAnsi="Times New Roman"/>
              </w:rPr>
              <w:t>302/First paragraph under Appraising/ last line</w:t>
            </w:r>
          </w:p>
        </w:tc>
        <w:tc>
          <w:tcPr>
            <w:tcW w:w="3280" w:type="dxa"/>
          </w:tcPr>
          <w:p w:rsidR="009F5663" w:rsidRDefault="009F5663" w:rsidP="00B261C9">
            <w:pPr>
              <w:tabs>
                <w:tab w:val="left" w:pos="1800"/>
              </w:tabs>
              <w:autoSpaceDE w:val="0"/>
              <w:autoSpaceDN w:val="0"/>
              <w:adjustRightInd w:val="0"/>
              <w:rPr>
                <w:rFonts w:ascii="Times New Roman" w:hAnsi="Times New Roman"/>
              </w:rPr>
            </w:pPr>
            <w:r>
              <w:rPr>
                <w:rFonts w:ascii="Times New Roman" w:hAnsi="Times New Roman"/>
              </w:rPr>
              <w:t>it is a breach of ethics and accepted practice to collect a commission for an appraisal based on the value of the property appraised.</w:t>
            </w:r>
          </w:p>
        </w:tc>
        <w:tc>
          <w:tcPr>
            <w:tcW w:w="3359" w:type="dxa"/>
          </w:tcPr>
          <w:p w:rsidR="009F5663" w:rsidRDefault="009F5663" w:rsidP="00B261C9">
            <w:pPr>
              <w:tabs>
                <w:tab w:val="left" w:pos="1800"/>
              </w:tabs>
              <w:autoSpaceDE w:val="0"/>
              <w:autoSpaceDN w:val="0"/>
              <w:adjustRightInd w:val="0"/>
              <w:rPr>
                <w:rFonts w:ascii="Times New Roman" w:hAnsi="Times New Roman"/>
              </w:rPr>
            </w:pPr>
            <w:r>
              <w:rPr>
                <w:rFonts w:ascii="Times New Roman" w:hAnsi="Times New Roman"/>
              </w:rPr>
              <w:t>it is a breach of accepted practice and ethics to collect a commission for an appraisal based on the value of the property appraised.</w:t>
            </w:r>
          </w:p>
        </w:tc>
      </w:tr>
      <w:tr w:rsidR="00B261C9" w:rsidRPr="00B261C9" w:rsidTr="002C272D">
        <w:trPr>
          <w:trHeight w:val="150"/>
          <w:jc w:val="center"/>
        </w:trPr>
        <w:tc>
          <w:tcPr>
            <w:tcW w:w="3439" w:type="dxa"/>
          </w:tcPr>
          <w:p w:rsidR="00B261C9" w:rsidRPr="00AF33C8" w:rsidRDefault="009631FE" w:rsidP="00B261C9">
            <w:pPr>
              <w:tabs>
                <w:tab w:val="left" w:pos="1800"/>
              </w:tabs>
              <w:autoSpaceDE w:val="0"/>
              <w:autoSpaceDN w:val="0"/>
              <w:adjustRightInd w:val="0"/>
              <w:rPr>
                <w:rFonts w:ascii="Times New Roman" w:hAnsi="Times New Roman"/>
              </w:rPr>
            </w:pPr>
            <w:r>
              <w:rPr>
                <w:rFonts w:ascii="Times New Roman" w:hAnsi="Times New Roman"/>
              </w:rPr>
              <w:t>325/Item 4, Choice B</w:t>
            </w:r>
          </w:p>
        </w:tc>
        <w:tc>
          <w:tcPr>
            <w:tcW w:w="3280" w:type="dxa"/>
          </w:tcPr>
          <w:p w:rsidR="00B261C9" w:rsidRPr="00AF33C8" w:rsidRDefault="009631FE" w:rsidP="00B261C9">
            <w:pPr>
              <w:tabs>
                <w:tab w:val="left" w:pos="1800"/>
              </w:tabs>
              <w:autoSpaceDE w:val="0"/>
              <w:autoSpaceDN w:val="0"/>
              <w:adjustRightInd w:val="0"/>
              <w:rPr>
                <w:rFonts w:ascii="Times New Roman" w:hAnsi="Times New Roman"/>
              </w:rPr>
            </w:pPr>
            <w:r>
              <w:rPr>
                <w:rFonts w:ascii="Times New Roman" w:hAnsi="Times New Roman"/>
              </w:rPr>
              <w:t>market price</w:t>
            </w:r>
          </w:p>
        </w:tc>
        <w:tc>
          <w:tcPr>
            <w:tcW w:w="3359" w:type="dxa"/>
          </w:tcPr>
          <w:p w:rsidR="00B261C9" w:rsidRPr="00AF33C8" w:rsidRDefault="009631FE" w:rsidP="00B261C9">
            <w:pPr>
              <w:tabs>
                <w:tab w:val="left" w:pos="1800"/>
              </w:tabs>
              <w:autoSpaceDE w:val="0"/>
              <w:autoSpaceDN w:val="0"/>
              <w:adjustRightInd w:val="0"/>
              <w:rPr>
                <w:rFonts w:ascii="Times New Roman" w:hAnsi="Times New Roman"/>
              </w:rPr>
            </w:pPr>
            <w:r>
              <w:rPr>
                <w:rFonts w:ascii="Times New Roman" w:hAnsi="Times New Roman"/>
              </w:rPr>
              <w:t>market value</w:t>
            </w:r>
          </w:p>
        </w:tc>
      </w:tr>
      <w:tr w:rsidR="009631FE" w:rsidRPr="00B261C9" w:rsidTr="002C272D">
        <w:trPr>
          <w:trHeight w:val="150"/>
          <w:jc w:val="center"/>
        </w:trPr>
        <w:tc>
          <w:tcPr>
            <w:tcW w:w="3439" w:type="dxa"/>
          </w:tcPr>
          <w:p w:rsidR="009631FE" w:rsidRPr="00AF33C8" w:rsidRDefault="009631FE" w:rsidP="00B261C9">
            <w:pPr>
              <w:tabs>
                <w:tab w:val="left" w:pos="1800"/>
              </w:tabs>
              <w:autoSpaceDE w:val="0"/>
              <w:autoSpaceDN w:val="0"/>
              <w:adjustRightInd w:val="0"/>
              <w:rPr>
                <w:rFonts w:ascii="Times New Roman" w:hAnsi="Times New Roman"/>
              </w:rPr>
            </w:pPr>
            <w:r>
              <w:rPr>
                <w:rFonts w:ascii="Times New Roman" w:hAnsi="Times New Roman"/>
              </w:rPr>
              <w:t>527/Insert after item 15</w:t>
            </w:r>
          </w:p>
        </w:tc>
        <w:tc>
          <w:tcPr>
            <w:tcW w:w="3280" w:type="dxa"/>
          </w:tcPr>
          <w:p w:rsidR="009631FE" w:rsidRPr="00AF33C8" w:rsidRDefault="009631FE" w:rsidP="00B261C9">
            <w:pPr>
              <w:tabs>
                <w:tab w:val="left" w:pos="1800"/>
              </w:tabs>
              <w:autoSpaceDE w:val="0"/>
              <w:autoSpaceDN w:val="0"/>
              <w:adjustRightInd w:val="0"/>
              <w:rPr>
                <w:rFonts w:ascii="Times New Roman" w:hAnsi="Times New Roman"/>
              </w:rPr>
            </w:pPr>
          </w:p>
        </w:tc>
        <w:tc>
          <w:tcPr>
            <w:tcW w:w="3359" w:type="dxa"/>
          </w:tcPr>
          <w:p w:rsidR="009631FE" w:rsidRPr="00AF33C8" w:rsidRDefault="009631FE" w:rsidP="00B261C9">
            <w:pPr>
              <w:tabs>
                <w:tab w:val="left" w:pos="1800"/>
              </w:tabs>
              <w:autoSpaceDE w:val="0"/>
              <w:autoSpaceDN w:val="0"/>
              <w:adjustRightInd w:val="0"/>
              <w:rPr>
                <w:rFonts w:ascii="Times New Roman" w:hAnsi="Times New Roman"/>
              </w:rPr>
            </w:pPr>
            <w:r w:rsidRPr="009631FE">
              <w:rPr>
                <w:rFonts w:ascii="Times New Roman" w:hAnsi="Times New Roman"/>
              </w:rPr>
              <w:t>16. C</w:t>
            </w:r>
            <w:r w:rsidRPr="009631FE">
              <w:rPr>
                <w:rFonts w:ascii="Times New Roman" w:hAnsi="Times New Roman"/>
              </w:rPr>
              <w:tab/>
              <w:t xml:space="preserve">The answer is intestate.  A person who dies testate leaves a valid will; one who dies intestate does not. A person who makes a last will and testament is a testator. A </w:t>
            </w:r>
            <w:r w:rsidRPr="009631FE">
              <w:rPr>
                <w:rFonts w:ascii="Times New Roman" w:hAnsi="Times New Roman"/>
              </w:rPr>
              <w:lastRenderedPageBreak/>
              <w:t>devisee is one who receives a gift of real estate (a devise) through a will. A legatee is one who receives a gift of personal property (legacy) through a will. (93)</w:t>
            </w:r>
          </w:p>
        </w:tc>
      </w:tr>
      <w:tr w:rsidR="009631FE" w:rsidRPr="00B261C9" w:rsidTr="002C272D">
        <w:trPr>
          <w:trHeight w:val="150"/>
          <w:jc w:val="center"/>
        </w:trPr>
        <w:tc>
          <w:tcPr>
            <w:tcW w:w="3439" w:type="dxa"/>
          </w:tcPr>
          <w:p w:rsidR="009631FE" w:rsidRPr="00AF33C8" w:rsidRDefault="009631FE" w:rsidP="00B261C9">
            <w:pPr>
              <w:tabs>
                <w:tab w:val="left" w:pos="1800"/>
              </w:tabs>
              <w:autoSpaceDE w:val="0"/>
              <w:autoSpaceDN w:val="0"/>
              <w:adjustRightInd w:val="0"/>
              <w:rPr>
                <w:rFonts w:ascii="Times New Roman" w:hAnsi="Times New Roman"/>
              </w:rPr>
            </w:pPr>
            <w:r>
              <w:rPr>
                <w:rFonts w:ascii="Times New Roman" w:hAnsi="Times New Roman"/>
              </w:rPr>
              <w:lastRenderedPageBreak/>
              <w:t>527/Item 16</w:t>
            </w:r>
          </w:p>
        </w:tc>
        <w:tc>
          <w:tcPr>
            <w:tcW w:w="3280" w:type="dxa"/>
          </w:tcPr>
          <w:p w:rsidR="009631FE" w:rsidRPr="00AF33C8" w:rsidRDefault="009631FE" w:rsidP="00B261C9">
            <w:pPr>
              <w:tabs>
                <w:tab w:val="left" w:pos="1800"/>
              </w:tabs>
              <w:autoSpaceDE w:val="0"/>
              <w:autoSpaceDN w:val="0"/>
              <w:adjustRightInd w:val="0"/>
              <w:rPr>
                <w:rFonts w:ascii="Times New Roman" w:hAnsi="Times New Roman"/>
              </w:rPr>
            </w:pPr>
            <w:r>
              <w:rPr>
                <w:rFonts w:ascii="Times New Roman" w:hAnsi="Times New Roman"/>
              </w:rPr>
              <w:t>16.</w:t>
            </w:r>
          </w:p>
        </w:tc>
        <w:tc>
          <w:tcPr>
            <w:tcW w:w="3359" w:type="dxa"/>
          </w:tcPr>
          <w:p w:rsidR="009631FE" w:rsidRPr="00AF33C8" w:rsidRDefault="009631FE" w:rsidP="00B261C9">
            <w:pPr>
              <w:tabs>
                <w:tab w:val="left" w:pos="1800"/>
              </w:tabs>
              <w:autoSpaceDE w:val="0"/>
              <w:autoSpaceDN w:val="0"/>
              <w:adjustRightInd w:val="0"/>
              <w:rPr>
                <w:rFonts w:ascii="Times New Roman" w:hAnsi="Times New Roman"/>
              </w:rPr>
            </w:pPr>
            <w:r>
              <w:rPr>
                <w:rFonts w:ascii="Times New Roman" w:hAnsi="Times New Roman"/>
              </w:rPr>
              <w:t>17.</w:t>
            </w:r>
          </w:p>
        </w:tc>
      </w:tr>
      <w:tr w:rsidR="009631FE" w:rsidRPr="00B261C9" w:rsidTr="002C272D">
        <w:trPr>
          <w:trHeight w:val="150"/>
          <w:jc w:val="center"/>
        </w:trPr>
        <w:tc>
          <w:tcPr>
            <w:tcW w:w="3439" w:type="dxa"/>
          </w:tcPr>
          <w:p w:rsidR="009631FE" w:rsidRPr="00AF33C8" w:rsidRDefault="009631FE" w:rsidP="00B261C9">
            <w:pPr>
              <w:tabs>
                <w:tab w:val="left" w:pos="1800"/>
              </w:tabs>
              <w:autoSpaceDE w:val="0"/>
              <w:autoSpaceDN w:val="0"/>
              <w:adjustRightInd w:val="0"/>
              <w:rPr>
                <w:rFonts w:ascii="Times New Roman" w:hAnsi="Times New Roman"/>
              </w:rPr>
            </w:pPr>
            <w:r>
              <w:rPr>
                <w:rFonts w:ascii="Times New Roman" w:hAnsi="Times New Roman"/>
              </w:rPr>
              <w:t>527/Item 17</w:t>
            </w:r>
          </w:p>
        </w:tc>
        <w:tc>
          <w:tcPr>
            <w:tcW w:w="3280" w:type="dxa"/>
          </w:tcPr>
          <w:p w:rsidR="009631FE" w:rsidRPr="00AF33C8" w:rsidRDefault="009631FE" w:rsidP="00B261C9">
            <w:pPr>
              <w:tabs>
                <w:tab w:val="left" w:pos="1800"/>
              </w:tabs>
              <w:autoSpaceDE w:val="0"/>
              <w:autoSpaceDN w:val="0"/>
              <w:adjustRightInd w:val="0"/>
              <w:rPr>
                <w:rFonts w:ascii="Times New Roman" w:hAnsi="Times New Roman"/>
              </w:rPr>
            </w:pPr>
            <w:r>
              <w:rPr>
                <w:rFonts w:ascii="Times New Roman" w:hAnsi="Times New Roman"/>
              </w:rPr>
              <w:t>17.</w:t>
            </w:r>
          </w:p>
        </w:tc>
        <w:tc>
          <w:tcPr>
            <w:tcW w:w="3359" w:type="dxa"/>
          </w:tcPr>
          <w:p w:rsidR="009631FE" w:rsidRPr="00AF33C8" w:rsidRDefault="009631FE" w:rsidP="00B261C9">
            <w:pPr>
              <w:tabs>
                <w:tab w:val="left" w:pos="1800"/>
              </w:tabs>
              <w:autoSpaceDE w:val="0"/>
              <w:autoSpaceDN w:val="0"/>
              <w:adjustRightInd w:val="0"/>
              <w:rPr>
                <w:rFonts w:ascii="Times New Roman" w:hAnsi="Times New Roman"/>
              </w:rPr>
            </w:pPr>
            <w:r>
              <w:rPr>
                <w:rFonts w:ascii="Times New Roman" w:hAnsi="Times New Roman"/>
              </w:rPr>
              <w:t>18.</w:t>
            </w:r>
          </w:p>
        </w:tc>
      </w:tr>
      <w:tr w:rsidR="009631FE" w:rsidRPr="00B261C9" w:rsidTr="002C272D">
        <w:trPr>
          <w:trHeight w:val="150"/>
          <w:jc w:val="center"/>
        </w:trPr>
        <w:tc>
          <w:tcPr>
            <w:tcW w:w="3439" w:type="dxa"/>
          </w:tcPr>
          <w:p w:rsidR="009631FE" w:rsidRPr="00AF33C8" w:rsidRDefault="009631FE" w:rsidP="00B261C9">
            <w:pPr>
              <w:tabs>
                <w:tab w:val="left" w:pos="1800"/>
              </w:tabs>
              <w:autoSpaceDE w:val="0"/>
              <w:autoSpaceDN w:val="0"/>
              <w:adjustRightInd w:val="0"/>
              <w:rPr>
                <w:rFonts w:ascii="Times New Roman" w:hAnsi="Times New Roman"/>
              </w:rPr>
            </w:pPr>
            <w:r>
              <w:rPr>
                <w:rFonts w:ascii="Times New Roman" w:hAnsi="Times New Roman"/>
              </w:rPr>
              <w:t>527/Item 18</w:t>
            </w:r>
          </w:p>
        </w:tc>
        <w:tc>
          <w:tcPr>
            <w:tcW w:w="3280" w:type="dxa"/>
          </w:tcPr>
          <w:p w:rsidR="009631FE" w:rsidRPr="00AF33C8" w:rsidRDefault="009631FE" w:rsidP="00B261C9">
            <w:pPr>
              <w:tabs>
                <w:tab w:val="left" w:pos="1800"/>
              </w:tabs>
              <w:autoSpaceDE w:val="0"/>
              <w:autoSpaceDN w:val="0"/>
              <w:adjustRightInd w:val="0"/>
              <w:rPr>
                <w:rFonts w:ascii="Times New Roman" w:hAnsi="Times New Roman"/>
              </w:rPr>
            </w:pPr>
            <w:r>
              <w:rPr>
                <w:rFonts w:ascii="Times New Roman" w:hAnsi="Times New Roman"/>
              </w:rPr>
              <w:t>18.</w:t>
            </w:r>
          </w:p>
        </w:tc>
        <w:tc>
          <w:tcPr>
            <w:tcW w:w="3359" w:type="dxa"/>
          </w:tcPr>
          <w:p w:rsidR="009631FE" w:rsidRPr="00AF33C8" w:rsidRDefault="009631FE" w:rsidP="00B261C9">
            <w:pPr>
              <w:tabs>
                <w:tab w:val="left" w:pos="1800"/>
              </w:tabs>
              <w:autoSpaceDE w:val="0"/>
              <w:autoSpaceDN w:val="0"/>
              <w:adjustRightInd w:val="0"/>
              <w:rPr>
                <w:rFonts w:ascii="Times New Roman" w:hAnsi="Times New Roman"/>
              </w:rPr>
            </w:pPr>
            <w:r>
              <w:rPr>
                <w:rFonts w:ascii="Times New Roman" w:hAnsi="Times New Roman"/>
              </w:rPr>
              <w:t>19.</w:t>
            </w:r>
          </w:p>
        </w:tc>
      </w:tr>
      <w:tr w:rsidR="009631FE" w:rsidRPr="00B261C9" w:rsidTr="002C272D">
        <w:trPr>
          <w:trHeight w:val="150"/>
          <w:jc w:val="center"/>
        </w:trPr>
        <w:tc>
          <w:tcPr>
            <w:tcW w:w="3439" w:type="dxa"/>
          </w:tcPr>
          <w:p w:rsidR="009631FE" w:rsidRPr="00AF33C8" w:rsidRDefault="009631FE" w:rsidP="00B261C9">
            <w:pPr>
              <w:tabs>
                <w:tab w:val="left" w:pos="1800"/>
              </w:tabs>
              <w:autoSpaceDE w:val="0"/>
              <w:autoSpaceDN w:val="0"/>
              <w:adjustRightInd w:val="0"/>
              <w:rPr>
                <w:rFonts w:ascii="Times New Roman" w:hAnsi="Times New Roman"/>
              </w:rPr>
            </w:pPr>
            <w:r>
              <w:rPr>
                <w:rFonts w:ascii="Times New Roman" w:hAnsi="Times New Roman"/>
              </w:rPr>
              <w:t>527/Item 19</w:t>
            </w:r>
          </w:p>
        </w:tc>
        <w:tc>
          <w:tcPr>
            <w:tcW w:w="3280" w:type="dxa"/>
          </w:tcPr>
          <w:p w:rsidR="009631FE" w:rsidRPr="00AF33C8" w:rsidRDefault="009631FE" w:rsidP="00B261C9">
            <w:pPr>
              <w:tabs>
                <w:tab w:val="left" w:pos="1800"/>
              </w:tabs>
              <w:autoSpaceDE w:val="0"/>
              <w:autoSpaceDN w:val="0"/>
              <w:adjustRightInd w:val="0"/>
              <w:rPr>
                <w:rFonts w:ascii="Times New Roman" w:hAnsi="Times New Roman"/>
              </w:rPr>
            </w:pPr>
            <w:r>
              <w:rPr>
                <w:rFonts w:ascii="Times New Roman" w:hAnsi="Times New Roman"/>
              </w:rPr>
              <w:t>19.</w:t>
            </w:r>
          </w:p>
        </w:tc>
        <w:tc>
          <w:tcPr>
            <w:tcW w:w="3359" w:type="dxa"/>
          </w:tcPr>
          <w:p w:rsidR="009631FE" w:rsidRPr="00AF33C8" w:rsidRDefault="009631FE" w:rsidP="00B261C9">
            <w:pPr>
              <w:tabs>
                <w:tab w:val="left" w:pos="1800"/>
              </w:tabs>
              <w:autoSpaceDE w:val="0"/>
              <w:autoSpaceDN w:val="0"/>
              <w:adjustRightInd w:val="0"/>
              <w:rPr>
                <w:rFonts w:ascii="Times New Roman" w:hAnsi="Times New Roman"/>
              </w:rPr>
            </w:pPr>
            <w:r>
              <w:rPr>
                <w:rFonts w:ascii="Times New Roman" w:hAnsi="Times New Roman"/>
              </w:rPr>
              <w:t>20.</w:t>
            </w:r>
          </w:p>
        </w:tc>
      </w:tr>
      <w:tr w:rsidR="009631FE" w:rsidRPr="00B261C9" w:rsidTr="002C272D">
        <w:trPr>
          <w:trHeight w:val="150"/>
          <w:jc w:val="center"/>
        </w:trPr>
        <w:tc>
          <w:tcPr>
            <w:tcW w:w="3439" w:type="dxa"/>
          </w:tcPr>
          <w:p w:rsidR="009631FE" w:rsidRPr="00AF33C8" w:rsidRDefault="009F5663" w:rsidP="00B261C9">
            <w:pPr>
              <w:tabs>
                <w:tab w:val="left" w:pos="1800"/>
              </w:tabs>
              <w:autoSpaceDE w:val="0"/>
              <w:autoSpaceDN w:val="0"/>
              <w:adjustRightInd w:val="0"/>
              <w:rPr>
                <w:rFonts w:ascii="Times New Roman" w:hAnsi="Times New Roman"/>
              </w:rPr>
            </w:pPr>
            <w:r>
              <w:rPr>
                <w:rFonts w:ascii="Times New Roman" w:hAnsi="Times New Roman"/>
              </w:rPr>
              <w:t>535/ Item 4</w:t>
            </w:r>
          </w:p>
        </w:tc>
        <w:tc>
          <w:tcPr>
            <w:tcW w:w="3280" w:type="dxa"/>
          </w:tcPr>
          <w:p w:rsidR="009631FE" w:rsidRPr="009F5663" w:rsidRDefault="009F5663" w:rsidP="009F5663">
            <w:pPr>
              <w:autoSpaceDE w:val="0"/>
              <w:autoSpaceDN w:val="0"/>
              <w:adjustRightInd w:val="0"/>
              <w:spacing w:after="175"/>
              <w:rPr>
                <w:rFonts w:ascii="Times New Roman" w:hAnsi="Times New Roman"/>
                <w:color w:val="221E1F"/>
              </w:rPr>
            </w:pPr>
            <w:r w:rsidRPr="009F5663">
              <w:rPr>
                <w:rFonts w:ascii="Times New Roman" w:hAnsi="Times New Roman"/>
                <w:b/>
                <w:bCs/>
                <w:color w:val="221E1F"/>
              </w:rPr>
              <w:t xml:space="preserve">C </w:t>
            </w:r>
            <w:r w:rsidRPr="009F5663">
              <w:rPr>
                <w:rFonts w:ascii="Times New Roman" w:hAnsi="Times New Roman"/>
                <w:color w:val="221E1F"/>
              </w:rPr>
              <w:t xml:space="preserve">The answer is the Fair Credit Reporting Act. If a loan application is rejected, the federal Fair Credit Reporting Act (FCRA) requires that the lender detail the reasons for the rejection in a statement that must be provided to the loan applicant within 30 days. The loan applicant also has the right to a free copy of any credit report that was considered in the loan application process. Additional state protections may also apply. (248) </w:t>
            </w:r>
          </w:p>
        </w:tc>
        <w:tc>
          <w:tcPr>
            <w:tcW w:w="3359" w:type="dxa"/>
          </w:tcPr>
          <w:p w:rsidR="009631FE" w:rsidRPr="00AF33C8" w:rsidRDefault="009F5663" w:rsidP="00B261C9">
            <w:pPr>
              <w:tabs>
                <w:tab w:val="left" w:pos="1800"/>
              </w:tabs>
              <w:autoSpaceDE w:val="0"/>
              <w:autoSpaceDN w:val="0"/>
              <w:adjustRightInd w:val="0"/>
              <w:rPr>
                <w:rFonts w:ascii="Times New Roman" w:hAnsi="Times New Roman"/>
              </w:rPr>
            </w:pPr>
            <w:r w:rsidRPr="009F5663">
              <w:rPr>
                <w:rFonts w:ascii="Times New Roman" w:hAnsi="Times New Roman"/>
                <w:b/>
                <w:bCs/>
                <w:color w:val="221E1F"/>
              </w:rPr>
              <w:t xml:space="preserve">C </w:t>
            </w:r>
            <w:r w:rsidRPr="009F5663">
              <w:rPr>
                <w:rFonts w:ascii="Times New Roman" w:hAnsi="Times New Roman"/>
                <w:color w:val="221E1F"/>
              </w:rPr>
              <w:t>The answer is the Fair Credit Reporting Act</w:t>
            </w:r>
            <w:r w:rsidRPr="009F5663">
              <w:rPr>
                <w:rFonts w:ascii="Times New Roman" w:hAnsi="Times New Roman"/>
              </w:rPr>
              <w:t xml:space="preserve"> If a loan application is rejected after consideration of a credit report, the federal Fair Credit Reporting Act (FCRA) specifies the information that the lender must provide to the loan applicant. The loan applicant has the right to a free copy of any credit report that was considered in the loan application process. Additional state protections may also apply.</w:t>
            </w:r>
            <w:r>
              <w:rPr>
                <w:rFonts w:ascii="Times New Roman" w:hAnsi="Times New Roman"/>
              </w:rPr>
              <w:t xml:space="preserve"> (248)</w:t>
            </w:r>
          </w:p>
        </w:tc>
      </w:tr>
      <w:tr w:rsidR="009631FE" w:rsidRPr="00B261C9" w:rsidTr="002C272D">
        <w:trPr>
          <w:trHeight w:val="150"/>
          <w:jc w:val="center"/>
        </w:trPr>
        <w:tc>
          <w:tcPr>
            <w:tcW w:w="3439" w:type="dxa"/>
          </w:tcPr>
          <w:p w:rsidR="009631FE" w:rsidRPr="00AF33C8" w:rsidRDefault="009F5663" w:rsidP="00B261C9">
            <w:pPr>
              <w:tabs>
                <w:tab w:val="left" w:pos="1800"/>
              </w:tabs>
              <w:autoSpaceDE w:val="0"/>
              <w:autoSpaceDN w:val="0"/>
              <w:adjustRightInd w:val="0"/>
              <w:rPr>
                <w:rFonts w:ascii="Times New Roman" w:hAnsi="Times New Roman"/>
              </w:rPr>
            </w:pPr>
            <w:r>
              <w:rPr>
                <w:rFonts w:ascii="Times New Roman" w:hAnsi="Times New Roman"/>
              </w:rPr>
              <w:t>545/Item 4</w:t>
            </w:r>
          </w:p>
        </w:tc>
        <w:tc>
          <w:tcPr>
            <w:tcW w:w="3280" w:type="dxa"/>
          </w:tcPr>
          <w:p w:rsidR="009631FE" w:rsidRPr="00AF33C8" w:rsidRDefault="009F5663" w:rsidP="00B261C9">
            <w:pPr>
              <w:tabs>
                <w:tab w:val="left" w:pos="1800"/>
              </w:tabs>
              <w:autoSpaceDE w:val="0"/>
              <w:autoSpaceDN w:val="0"/>
              <w:adjustRightInd w:val="0"/>
              <w:rPr>
                <w:rFonts w:ascii="Times New Roman" w:hAnsi="Times New Roman"/>
              </w:rPr>
            </w:pPr>
            <w:r>
              <w:rPr>
                <w:rFonts w:ascii="Times New Roman" w:hAnsi="Times New Roman"/>
              </w:rPr>
              <w:t>A (221)</w:t>
            </w:r>
          </w:p>
        </w:tc>
        <w:tc>
          <w:tcPr>
            <w:tcW w:w="3359" w:type="dxa"/>
          </w:tcPr>
          <w:p w:rsidR="009631FE" w:rsidRPr="00AF33C8" w:rsidRDefault="009F5663" w:rsidP="00B261C9">
            <w:pPr>
              <w:tabs>
                <w:tab w:val="left" w:pos="1800"/>
              </w:tabs>
              <w:autoSpaceDE w:val="0"/>
              <w:autoSpaceDN w:val="0"/>
              <w:adjustRightInd w:val="0"/>
              <w:rPr>
                <w:rFonts w:ascii="Times New Roman" w:hAnsi="Times New Roman"/>
              </w:rPr>
            </w:pPr>
            <w:r>
              <w:rPr>
                <w:rFonts w:ascii="Times New Roman" w:hAnsi="Times New Roman"/>
              </w:rPr>
              <w:t>C (221)</w:t>
            </w:r>
          </w:p>
        </w:tc>
      </w:tr>
      <w:tr w:rsidR="009631FE" w:rsidRPr="00B261C9" w:rsidTr="002C272D">
        <w:trPr>
          <w:trHeight w:val="150"/>
          <w:jc w:val="center"/>
        </w:trPr>
        <w:tc>
          <w:tcPr>
            <w:tcW w:w="3439" w:type="dxa"/>
          </w:tcPr>
          <w:p w:rsidR="009631FE" w:rsidRPr="00AF33C8" w:rsidRDefault="009F5663" w:rsidP="00B261C9">
            <w:pPr>
              <w:tabs>
                <w:tab w:val="left" w:pos="1800"/>
              </w:tabs>
              <w:autoSpaceDE w:val="0"/>
              <w:autoSpaceDN w:val="0"/>
              <w:adjustRightInd w:val="0"/>
              <w:rPr>
                <w:rFonts w:ascii="Times New Roman" w:hAnsi="Times New Roman"/>
              </w:rPr>
            </w:pPr>
            <w:r>
              <w:rPr>
                <w:rFonts w:ascii="Times New Roman" w:hAnsi="Times New Roman"/>
              </w:rPr>
              <w:t>545/Item 5</w:t>
            </w:r>
          </w:p>
        </w:tc>
        <w:tc>
          <w:tcPr>
            <w:tcW w:w="3280" w:type="dxa"/>
          </w:tcPr>
          <w:p w:rsidR="009631FE" w:rsidRPr="00AF33C8" w:rsidRDefault="009F5663" w:rsidP="00B261C9">
            <w:pPr>
              <w:tabs>
                <w:tab w:val="left" w:pos="1800"/>
              </w:tabs>
              <w:autoSpaceDE w:val="0"/>
              <w:autoSpaceDN w:val="0"/>
              <w:adjustRightInd w:val="0"/>
              <w:rPr>
                <w:rFonts w:ascii="Times New Roman" w:hAnsi="Times New Roman"/>
              </w:rPr>
            </w:pPr>
            <w:r>
              <w:rPr>
                <w:rFonts w:ascii="Times New Roman" w:hAnsi="Times New Roman"/>
              </w:rPr>
              <w:t>C (444)</w:t>
            </w:r>
          </w:p>
        </w:tc>
        <w:tc>
          <w:tcPr>
            <w:tcW w:w="3359" w:type="dxa"/>
          </w:tcPr>
          <w:p w:rsidR="009631FE" w:rsidRPr="00AF33C8" w:rsidRDefault="009F5663" w:rsidP="00B261C9">
            <w:pPr>
              <w:tabs>
                <w:tab w:val="left" w:pos="1800"/>
              </w:tabs>
              <w:autoSpaceDE w:val="0"/>
              <w:autoSpaceDN w:val="0"/>
              <w:adjustRightInd w:val="0"/>
              <w:rPr>
                <w:rFonts w:ascii="Times New Roman" w:hAnsi="Times New Roman"/>
              </w:rPr>
            </w:pPr>
            <w:r>
              <w:rPr>
                <w:rFonts w:ascii="Times New Roman" w:hAnsi="Times New Roman"/>
              </w:rPr>
              <w:t>A (444)</w:t>
            </w:r>
          </w:p>
        </w:tc>
      </w:tr>
      <w:tr w:rsidR="009631FE" w:rsidRPr="00B261C9" w:rsidTr="002C272D">
        <w:trPr>
          <w:trHeight w:val="150"/>
          <w:jc w:val="center"/>
        </w:trPr>
        <w:tc>
          <w:tcPr>
            <w:tcW w:w="3439" w:type="dxa"/>
          </w:tcPr>
          <w:p w:rsidR="009631FE" w:rsidRPr="00AF33C8" w:rsidRDefault="009631FE" w:rsidP="00B261C9">
            <w:pPr>
              <w:tabs>
                <w:tab w:val="left" w:pos="1800"/>
              </w:tabs>
              <w:autoSpaceDE w:val="0"/>
              <w:autoSpaceDN w:val="0"/>
              <w:adjustRightInd w:val="0"/>
              <w:rPr>
                <w:rFonts w:ascii="Times New Roman" w:hAnsi="Times New Roman"/>
              </w:rPr>
            </w:pPr>
          </w:p>
        </w:tc>
        <w:tc>
          <w:tcPr>
            <w:tcW w:w="3280" w:type="dxa"/>
          </w:tcPr>
          <w:p w:rsidR="009631FE" w:rsidRPr="00AF33C8" w:rsidRDefault="009631FE" w:rsidP="00B261C9">
            <w:pPr>
              <w:tabs>
                <w:tab w:val="left" w:pos="1800"/>
              </w:tabs>
              <w:autoSpaceDE w:val="0"/>
              <w:autoSpaceDN w:val="0"/>
              <w:adjustRightInd w:val="0"/>
              <w:rPr>
                <w:rFonts w:ascii="Times New Roman" w:hAnsi="Times New Roman"/>
              </w:rPr>
            </w:pPr>
          </w:p>
        </w:tc>
        <w:tc>
          <w:tcPr>
            <w:tcW w:w="3359" w:type="dxa"/>
          </w:tcPr>
          <w:p w:rsidR="009631FE" w:rsidRPr="00AF33C8" w:rsidRDefault="009631FE" w:rsidP="00B261C9">
            <w:pPr>
              <w:tabs>
                <w:tab w:val="left" w:pos="1800"/>
              </w:tabs>
              <w:autoSpaceDE w:val="0"/>
              <w:autoSpaceDN w:val="0"/>
              <w:adjustRightInd w:val="0"/>
              <w:rPr>
                <w:rFonts w:ascii="Times New Roman" w:hAnsi="Times New Roman"/>
              </w:rPr>
            </w:pPr>
          </w:p>
        </w:tc>
      </w:tr>
    </w:tbl>
    <w:p w:rsidR="002C272D" w:rsidRDefault="002C272D" w:rsidP="002C272D">
      <w:pPr>
        <w:tabs>
          <w:tab w:val="left" w:pos="1800"/>
        </w:tabs>
        <w:autoSpaceDE w:val="0"/>
        <w:autoSpaceDN w:val="0"/>
        <w:adjustRightInd w:val="0"/>
        <w:rPr>
          <w:rFonts w:ascii="Times New Roman" w:hAnsi="Times New Roman"/>
          <w:b/>
        </w:rPr>
      </w:pPr>
    </w:p>
    <w:p w:rsidR="002C272D" w:rsidRPr="007C0232" w:rsidRDefault="002C272D" w:rsidP="002C272D">
      <w:pPr>
        <w:tabs>
          <w:tab w:val="left" w:pos="1800"/>
        </w:tabs>
        <w:autoSpaceDE w:val="0"/>
        <w:autoSpaceDN w:val="0"/>
        <w:adjustRightInd w:val="0"/>
        <w:rPr>
          <w:rFonts w:ascii="Times New Roman" w:hAnsi="Times New Roman"/>
          <w:b/>
        </w:rPr>
      </w:pPr>
      <w:r>
        <w:rPr>
          <w:rFonts w:ascii="Times New Roman" w:hAnsi="Times New Roman"/>
          <w:b/>
        </w:rPr>
        <w:t>Second Printing</w:t>
      </w:r>
      <w:r w:rsidR="002F6A90">
        <w:rPr>
          <w:rFonts w:ascii="Times New Roman" w:hAnsi="Times New Roman"/>
          <w:b/>
        </w:rPr>
        <w:t>, First Revision</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3202"/>
        <w:gridCol w:w="3279"/>
      </w:tblGrid>
      <w:tr w:rsidR="002C272D" w:rsidRPr="00B261C9" w:rsidTr="008915C0">
        <w:trPr>
          <w:trHeight w:val="144"/>
          <w:jc w:val="center"/>
        </w:trPr>
        <w:tc>
          <w:tcPr>
            <w:tcW w:w="3181" w:type="dxa"/>
            <w:shd w:val="clear" w:color="auto" w:fill="CCFFCC"/>
          </w:tcPr>
          <w:p w:rsidR="002C272D" w:rsidRPr="00B261C9" w:rsidRDefault="002C272D" w:rsidP="008915C0">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2C272D" w:rsidRPr="00B261C9" w:rsidRDefault="002C272D" w:rsidP="008915C0">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06" w:type="dxa"/>
            <w:shd w:val="clear" w:color="auto" w:fill="CCFFCC"/>
          </w:tcPr>
          <w:p w:rsidR="002C272D" w:rsidRPr="00B261C9" w:rsidRDefault="002C272D" w:rsidP="008915C0">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2C272D" w:rsidRPr="00B261C9" w:rsidTr="008915C0">
        <w:trPr>
          <w:trHeight w:val="150"/>
          <w:jc w:val="center"/>
        </w:trPr>
        <w:tc>
          <w:tcPr>
            <w:tcW w:w="3181" w:type="dxa"/>
          </w:tcPr>
          <w:p w:rsidR="002C272D" w:rsidRDefault="002C272D" w:rsidP="008915C0">
            <w:pPr>
              <w:tabs>
                <w:tab w:val="left" w:pos="1800"/>
              </w:tabs>
              <w:autoSpaceDE w:val="0"/>
              <w:autoSpaceDN w:val="0"/>
              <w:adjustRightInd w:val="0"/>
              <w:rPr>
                <w:rFonts w:ascii="Times New Roman" w:hAnsi="Times New Roman"/>
              </w:rPr>
            </w:pPr>
            <w:r>
              <w:rPr>
                <w:rFonts w:ascii="Times New Roman" w:hAnsi="Times New Roman"/>
              </w:rPr>
              <w:t>24/4</w:t>
            </w:r>
            <w:r w:rsidRPr="002C272D">
              <w:rPr>
                <w:rFonts w:ascii="Times New Roman" w:hAnsi="Times New Roman"/>
                <w:vertAlign w:val="superscript"/>
              </w:rPr>
              <w:t>th</w:t>
            </w:r>
            <w:r>
              <w:rPr>
                <w:rFonts w:ascii="Times New Roman" w:hAnsi="Times New Roman"/>
              </w:rPr>
              <w:t xml:space="preserve"> paragraph</w:t>
            </w:r>
          </w:p>
        </w:tc>
        <w:tc>
          <w:tcPr>
            <w:tcW w:w="3033" w:type="dxa"/>
          </w:tcPr>
          <w:p w:rsidR="002C272D" w:rsidRDefault="002C272D" w:rsidP="008915C0">
            <w:pPr>
              <w:tabs>
                <w:tab w:val="left" w:pos="1800"/>
              </w:tabs>
              <w:autoSpaceDE w:val="0"/>
              <w:autoSpaceDN w:val="0"/>
              <w:adjustRightInd w:val="0"/>
              <w:rPr>
                <w:rFonts w:ascii="Times New Roman" w:hAnsi="Times New Roman"/>
              </w:rPr>
            </w:pPr>
            <w:r>
              <w:rPr>
                <w:rFonts w:ascii="Times New Roman" w:hAnsi="Times New Roman"/>
              </w:rPr>
              <w:t>Investment The capital and labor used …</w:t>
            </w:r>
          </w:p>
        </w:tc>
        <w:tc>
          <w:tcPr>
            <w:tcW w:w="3106" w:type="dxa"/>
          </w:tcPr>
          <w:p w:rsidR="002C272D" w:rsidRDefault="002C272D" w:rsidP="008915C0">
            <w:pPr>
              <w:tabs>
                <w:tab w:val="left" w:pos="1800"/>
              </w:tabs>
              <w:autoSpaceDE w:val="0"/>
              <w:autoSpaceDN w:val="0"/>
              <w:adjustRightInd w:val="0"/>
              <w:rPr>
                <w:rFonts w:ascii="Times New Roman" w:hAnsi="Times New Roman"/>
              </w:rPr>
            </w:pPr>
            <w:r>
              <w:rPr>
                <w:rFonts w:ascii="Times New Roman" w:hAnsi="Times New Roman"/>
              </w:rPr>
              <w:t>The capital and labor used…</w:t>
            </w:r>
          </w:p>
        </w:tc>
      </w:tr>
      <w:tr w:rsidR="002C272D" w:rsidRPr="00B261C9" w:rsidTr="008915C0">
        <w:trPr>
          <w:trHeight w:val="150"/>
          <w:jc w:val="center"/>
        </w:trPr>
        <w:tc>
          <w:tcPr>
            <w:tcW w:w="3181" w:type="dxa"/>
          </w:tcPr>
          <w:p w:rsidR="002C272D" w:rsidRDefault="00562298" w:rsidP="008915C0">
            <w:pPr>
              <w:tabs>
                <w:tab w:val="left" w:pos="1800"/>
              </w:tabs>
              <w:autoSpaceDE w:val="0"/>
              <w:autoSpaceDN w:val="0"/>
              <w:adjustRightInd w:val="0"/>
              <w:rPr>
                <w:rFonts w:ascii="Times New Roman" w:hAnsi="Times New Roman"/>
              </w:rPr>
            </w:pPr>
            <w:r>
              <w:rPr>
                <w:rFonts w:ascii="Times New Roman" w:hAnsi="Times New Roman"/>
              </w:rPr>
              <w:t>243 Assumption rules</w:t>
            </w:r>
          </w:p>
        </w:tc>
        <w:tc>
          <w:tcPr>
            <w:tcW w:w="3033" w:type="dxa"/>
          </w:tcPr>
          <w:p w:rsidR="002C272D" w:rsidRDefault="00562298" w:rsidP="008915C0">
            <w:pPr>
              <w:tabs>
                <w:tab w:val="left" w:pos="1800"/>
              </w:tabs>
              <w:autoSpaceDE w:val="0"/>
              <w:autoSpaceDN w:val="0"/>
              <w:adjustRightInd w:val="0"/>
              <w:rPr>
                <w:rFonts w:ascii="Times New Roman" w:hAnsi="Times New Roman"/>
              </w:rPr>
            </w:pPr>
            <w:r>
              <w:rPr>
                <w:rFonts w:ascii="Times New Roman" w:hAnsi="Times New Roman"/>
              </w:rPr>
              <w:t>VA-guaranteed loans made on or after March 1, 1988, are no longer assumable.</w:t>
            </w:r>
          </w:p>
        </w:tc>
        <w:tc>
          <w:tcPr>
            <w:tcW w:w="3106" w:type="dxa"/>
          </w:tcPr>
          <w:p w:rsidR="002C272D" w:rsidRDefault="00562298" w:rsidP="00562298">
            <w:pPr>
              <w:tabs>
                <w:tab w:val="left" w:pos="1800"/>
              </w:tabs>
              <w:autoSpaceDE w:val="0"/>
              <w:autoSpaceDN w:val="0"/>
              <w:adjustRightInd w:val="0"/>
              <w:rPr>
                <w:rFonts w:ascii="Times New Roman" w:hAnsi="Times New Roman"/>
              </w:rPr>
            </w:pPr>
            <w:r>
              <w:rPr>
                <w:rFonts w:ascii="Times New Roman" w:hAnsi="Times New Roman"/>
              </w:rPr>
              <w:t>VA-guaranteed loans made on or after March 1, 1988, are no longer assumable without prior consent from the lender.</w:t>
            </w:r>
          </w:p>
        </w:tc>
      </w:tr>
      <w:tr w:rsidR="002C272D" w:rsidRPr="00B261C9" w:rsidTr="008915C0">
        <w:trPr>
          <w:trHeight w:val="150"/>
          <w:jc w:val="center"/>
        </w:trPr>
        <w:tc>
          <w:tcPr>
            <w:tcW w:w="3181" w:type="dxa"/>
          </w:tcPr>
          <w:p w:rsidR="002C272D" w:rsidRDefault="00295C5E" w:rsidP="008915C0">
            <w:pPr>
              <w:tabs>
                <w:tab w:val="left" w:pos="1800"/>
              </w:tabs>
              <w:autoSpaceDE w:val="0"/>
              <w:autoSpaceDN w:val="0"/>
              <w:adjustRightInd w:val="0"/>
              <w:rPr>
                <w:rFonts w:ascii="Times New Roman" w:hAnsi="Times New Roman"/>
              </w:rPr>
            </w:pPr>
            <w:r>
              <w:rPr>
                <w:rFonts w:ascii="Times New Roman" w:hAnsi="Times New Roman"/>
              </w:rPr>
              <w:t>321, caption Figure 16.6</w:t>
            </w:r>
          </w:p>
        </w:tc>
        <w:tc>
          <w:tcPr>
            <w:tcW w:w="3033" w:type="dxa"/>
          </w:tcPr>
          <w:p w:rsidR="002C272D" w:rsidRDefault="00295C5E" w:rsidP="008915C0">
            <w:pPr>
              <w:tabs>
                <w:tab w:val="left" w:pos="1800"/>
              </w:tabs>
              <w:autoSpaceDE w:val="0"/>
              <w:autoSpaceDN w:val="0"/>
              <w:adjustRightInd w:val="0"/>
              <w:rPr>
                <w:rFonts w:ascii="Times New Roman" w:hAnsi="Times New Roman"/>
              </w:rPr>
            </w:pPr>
            <w:proofErr w:type="spellStart"/>
            <w:r>
              <w:rPr>
                <w:rFonts w:ascii="Times New Roman" w:hAnsi="Times New Roman"/>
              </w:rPr>
              <w:t>comparables</w:t>
            </w:r>
            <w:proofErr w:type="spellEnd"/>
            <w:r>
              <w:rPr>
                <w:rFonts w:ascii="Times New Roman" w:hAnsi="Times New Roman"/>
              </w:rPr>
              <w:t xml:space="preserve"> 1 and 3 show extremes</w:t>
            </w:r>
          </w:p>
        </w:tc>
        <w:tc>
          <w:tcPr>
            <w:tcW w:w="3106" w:type="dxa"/>
          </w:tcPr>
          <w:p w:rsidR="002C272D" w:rsidRDefault="00295C5E" w:rsidP="008915C0">
            <w:pPr>
              <w:tabs>
                <w:tab w:val="left" w:pos="1800"/>
              </w:tabs>
              <w:autoSpaceDE w:val="0"/>
              <w:autoSpaceDN w:val="0"/>
              <w:adjustRightInd w:val="0"/>
              <w:rPr>
                <w:rFonts w:ascii="Times New Roman" w:hAnsi="Times New Roman"/>
              </w:rPr>
            </w:pPr>
            <w:proofErr w:type="spellStart"/>
            <w:r>
              <w:rPr>
                <w:rFonts w:ascii="Times New Roman" w:hAnsi="Times New Roman"/>
              </w:rPr>
              <w:t>comparables</w:t>
            </w:r>
            <w:proofErr w:type="spellEnd"/>
            <w:r>
              <w:rPr>
                <w:rFonts w:ascii="Times New Roman" w:hAnsi="Times New Roman"/>
              </w:rPr>
              <w:t xml:space="preserve"> 2 and 3 show extremes</w:t>
            </w:r>
          </w:p>
        </w:tc>
      </w:tr>
      <w:tr w:rsidR="002C272D" w:rsidRPr="00B261C9" w:rsidTr="008915C0">
        <w:trPr>
          <w:trHeight w:val="150"/>
          <w:jc w:val="center"/>
        </w:trPr>
        <w:tc>
          <w:tcPr>
            <w:tcW w:w="3181" w:type="dxa"/>
          </w:tcPr>
          <w:p w:rsidR="002C272D" w:rsidRPr="00AF33C8" w:rsidRDefault="00637FDD" w:rsidP="008915C0">
            <w:pPr>
              <w:tabs>
                <w:tab w:val="left" w:pos="1800"/>
              </w:tabs>
              <w:autoSpaceDE w:val="0"/>
              <w:autoSpaceDN w:val="0"/>
              <w:adjustRightInd w:val="0"/>
              <w:rPr>
                <w:rFonts w:ascii="Times New Roman" w:hAnsi="Times New Roman"/>
              </w:rPr>
            </w:pPr>
            <w:r>
              <w:rPr>
                <w:rFonts w:ascii="Times New Roman" w:hAnsi="Times New Roman"/>
              </w:rPr>
              <w:t>431, How do I convert one kind …</w:t>
            </w:r>
          </w:p>
        </w:tc>
        <w:tc>
          <w:tcPr>
            <w:tcW w:w="3033" w:type="dxa"/>
          </w:tcPr>
          <w:p w:rsidR="002C272D" w:rsidRPr="00AF33C8" w:rsidRDefault="00637FDD" w:rsidP="008915C0">
            <w:pPr>
              <w:tabs>
                <w:tab w:val="left" w:pos="1800"/>
              </w:tabs>
              <w:autoSpaceDE w:val="0"/>
              <w:autoSpaceDN w:val="0"/>
              <w:adjustRightInd w:val="0"/>
              <w:rPr>
                <w:rFonts w:ascii="Times New Roman" w:hAnsi="Times New Roman"/>
              </w:rPr>
            </w:pPr>
            <w:r>
              <w:rPr>
                <w:rFonts w:ascii="Times New Roman" w:hAnsi="Times New Roman"/>
              </w:rPr>
              <w:t xml:space="preserve">Square feet x 144 = square inches </w:t>
            </w:r>
          </w:p>
        </w:tc>
        <w:tc>
          <w:tcPr>
            <w:tcW w:w="3106" w:type="dxa"/>
          </w:tcPr>
          <w:p w:rsidR="002C272D" w:rsidRPr="00AF33C8" w:rsidRDefault="00637FDD" w:rsidP="008915C0">
            <w:pPr>
              <w:tabs>
                <w:tab w:val="left" w:pos="1800"/>
              </w:tabs>
              <w:autoSpaceDE w:val="0"/>
              <w:autoSpaceDN w:val="0"/>
              <w:adjustRightInd w:val="0"/>
              <w:rPr>
                <w:rFonts w:ascii="Times New Roman" w:hAnsi="Times New Roman"/>
              </w:rPr>
            </w:pPr>
            <w:r>
              <w:rPr>
                <w:rFonts w:ascii="Times New Roman" w:hAnsi="Times New Roman"/>
              </w:rPr>
              <w:t>REMOVED DIVISION SIGN</w:t>
            </w:r>
          </w:p>
        </w:tc>
      </w:tr>
      <w:tr w:rsidR="002C272D" w:rsidRPr="00B261C9" w:rsidTr="008915C0">
        <w:trPr>
          <w:trHeight w:val="150"/>
          <w:jc w:val="center"/>
        </w:trPr>
        <w:tc>
          <w:tcPr>
            <w:tcW w:w="3181" w:type="dxa"/>
          </w:tcPr>
          <w:p w:rsidR="002C272D" w:rsidRPr="00AF33C8" w:rsidRDefault="002C272D" w:rsidP="008915C0">
            <w:pPr>
              <w:tabs>
                <w:tab w:val="left" w:pos="1800"/>
              </w:tabs>
              <w:autoSpaceDE w:val="0"/>
              <w:autoSpaceDN w:val="0"/>
              <w:adjustRightInd w:val="0"/>
              <w:rPr>
                <w:rFonts w:ascii="Times New Roman" w:hAnsi="Times New Roman"/>
              </w:rPr>
            </w:pPr>
          </w:p>
        </w:tc>
        <w:tc>
          <w:tcPr>
            <w:tcW w:w="3033" w:type="dxa"/>
          </w:tcPr>
          <w:p w:rsidR="002C272D" w:rsidRPr="00AF33C8" w:rsidRDefault="002C272D" w:rsidP="008915C0">
            <w:pPr>
              <w:tabs>
                <w:tab w:val="left" w:pos="1800"/>
              </w:tabs>
              <w:autoSpaceDE w:val="0"/>
              <w:autoSpaceDN w:val="0"/>
              <w:adjustRightInd w:val="0"/>
              <w:rPr>
                <w:rFonts w:ascii="Times New Roman" w:hAnsi="Times New Roman"/>
              </w:rPr>
            </w:pPr>
          </w:p>
        </w:tc>
        <w:tc>
          <w:tcPr>
            <w:tcW w:w="3106" w:type="dxa"/>
          </w:tcPr>
          <w:p w:rsidR="002C272D" w:rsidRPr="00AF33C8" w:rsidRDefault="002C272D" w:rsidP="008915C0">
            <w:pPr>
              <w:tabs>
                <w:tab w:val="left" w:pos="1800"/>
              </w:tabs>
              <w:autoSpaceDE w:val="0"/>
              <w:autoSpaceDN w:val="0"/>
              <w:adjustRightInd w:val="0"/>
              <w:rPr>
                <w:rFonts w:ascii="Times New Roman" w:hAnsi="Times New Roman"/>
              </w:rPr>
            </w:pPr>
          </w:p>
        </w:tc>
      </w:tr>
      <w:tr w:rsidR="002C272D" w:rsidRPr="00B261C9" w:rsidTr="008915C0">
        <w:trPr>
          <w:trHeight w:val="150"/>
          <w:jc w:val="center"/>
        </w:trPr>
        <w:tc>
          <w:tcPr>
            <w:tcW w:w="3181" w:type="dxa"/>
          </w:tcPr>
          <w:p w:rsidR="002C272D" w:rsidRPr="00AF33C8" w:rsidRDefault="002C272D" w:rsidP="008915C0">
            <w:pPr>
              <w:tabs>
                <w:tab w:val="left" w:pos="1800"/>
              </w:tabs>
              <w:autoSpaceDE w:val="0"/>
              <w:autoSpaceDN w:val="0"/>
              <w:adjustRightInd w:val="0"/>
              <w:rPr>
                <w:rFonts w:ascii="Times New Roman" w:hAnsi="Times New Roman"/>
              </w:rPr>
            </w:pPr>
          </w:p>
        </w:tc>
        <w:tc>
          <w:tcPr>
            <w:tcW w:w="3033" w:type="dxa"/>
          </w:tcPr>
          <w:p w:rsidR="002C272D" w:rsidRPr="00AF33C8" w:rsidRDefault="002C272D" w:rsidP="008915C0">
            <w:pPr>
              <w:tabs>
                <w:tab w:val="left" w:pos="1800"/>
              </w:tabs>
              <w:autoSpaceDE w:val="0"/>
              <w:autoSpaceDN w:val="0"/>
              <w:adjustRightInd w:val="0"/>
              <w:rPr>
                <w:rFonts w:ascii="Times New Roman" w:hAnsi="Times New Roman"/>
              </w:rPr>
            </w:pPr>
          </w:p>
        </w:tc>
        <w:tc>
          <w:tcPr>
            <w:tcW w:w="3106" w:type="dxa"/>
          </w:tcPr>
          <w:p w:rsidR="002C272D" w:rsidRPr="00AF33C8" w:rsidRDefault="002C272D" w:rsidP="008915C0">
            <w:pPr>
              <w:tabs>
                <w:tab w:val="left" w:pos="1800"/>
              </w:tabs>
              <w:autoSpaceDE w:val="0"/>
              <w:autoSpaceDN w:val="0"/>
              <w:adjustRightInd w:val="0"/>
              <w:rPr>
                <w:rFonts w:ascii="Times New Roman" w:hAnsi="Times New Roman"/>
              </w:rPr>
            </w:pPr>
          </w:p>
        </w:tc>
      </w:tr>
      <w:tr w:rsidR="002C272D" w:rsidRPr="00B261C9" w:rsidTr="008915C0">
        <w:trPr>
          <w:trHeight w:val="150"/>
          <w:jc w:val="center"/>
        </w:trPr>
        <w:tc>
          <w:tcPr>
            <w:tcW w:w="3181" w:type="dxa"/>
          </w:tcPr>
          <w:p w:rsidR="002C272D" w:rsidRPr="00AF33C8" w:rsidRDefault="002C272D" w:rsidP="008915C0">
            <w:pPr>
              <w:tabs>
                <w:tab w:val="left" w:pos="1800"/>
              </w:tabs>
              <w:autoSpaceDE w:val="0"/>
              <w:autoSpaceDN w:val="0"/>
              <w:adjustRightInd w:val="0"/>
              <w:rPr>
                <w:rFonts w:ascii="Times New Roman" w:hAnsi="Times New Roman"/>
              </w:rPr>
            </w:pPr>
          </w:p>
        </w:tc>
        <w:tc>
          <w:tcPr>
            <w:tcW w:w="3033" w:type="dxa"/>
          </w:tcPr>
          <w:p w:rsidR="002C272D" w:rsidRPr="00AF33C8" w:rsidRDefault="002C272D" w:rsidP="008915C0">
            <w:pPr>
              <w:tabs>
                <w:tab w:val="left" w:pos="1800"/>
              </w:tabs>
              <w:autoSpaceDE w:val="0"/>
              <w:autoSpaceDN w:val="0"/>
              <w:adjustRightInd w:val="0"/>
              <w:rPr>
                <w:rFonts w:ascii="Times New Roman" w:hAnsi="Times New Roman"/>
              </w:rPr>
            </w:pPr>
          </w:p>
        </w:tc>
        <w:tc>
          <w:tcPr>
            <w:tcW w:w="3106" w:type="dxa"/>
          </w:tcPr>
          <w:p w:rsidR="002C272D" w:rsidRPr="00AF33C8" w:rsidRDefault="002C272D" w:rsidP="008915C0">
            <w:pPr>
              <w:tabs>
                <w:tab w:val="left" w:pos="1800"/>
              </w:tabs>
              <w:autoSpaceDE w:val="0"/>
              <w:autoSpaceDN w:val="0"/>
              <w:adjustRightInd w:val="0"/>
              <w:rPr>
                <w:rFonts w:ascii="Times New Roman" w:hAnsi="Times New Roman"/>
              </w:rPr>
            </w:pPr>
          </w:p>
        </w:tc>
      </w:tr>
      <w:tr w:rsidR="002C272D" w:rsidRPr="00B261C9" w:rsidTr="008915C0">
        <w:trPr>
          <w:trHeight w:val="150"/>
          <w:jc w:val="center"/>
        </w:trPr>
        <w:tc>
          <w:tcPr>
            <w:tcW w:w="3181" w:type="dxa"/>
          </w:tcPr>
          <w:p w:rsidR="002C272D" w:rsidRPr="00AF33C8" w:rsidRDefault="002C272D" w:rsidP="008915C0">
            <w:pPr>
              <w:tabs>
                <w:tab w:val="left" w:pos="1800"/>
              </w:tabs>
              <w:autoSpaceDE w:val="0"/>
              <w:autoSpaceDN w:val="0"/>
              <w:adjustRightInd w:val="0"/>
              <w:rPr>
                <w:rFonts w:ascii="Times New Roman" w:hAnsi="Times New Roman"/>
              </w:rPr>
            </w:pPr>
          </w:p>
        </w:tc>
        <w:tc>
          <w:tcPr>
            <w:tcW w:w="3033" w:type="dxa"/>
          </w:tcPr>
          <w:p w:rsidR="002C272D" w:rsidRPr="00AF33C8" w:rsidRDefault="002C272D" w:rsidP="008915C0">
            <w:pPr>
              <w:tabs>
                <w:tab w:val="left" w:pos="1800"/>
              </w:tabs>
              <w:autoSpaceDE w:val="0"/>
              <w:autoSpaceDN w:val="0"/>
              <w:adjustRightInd w:val="0"/>
              <w:rPr>
                <w:rFonts w:ascii="Times New Roman" w:hAnsi="Times New Roman"/>
              </w:rPr>
            </w:pPr>
          </w:p>
        </w:tc>
        <w:tc>
          <w:tcPr>
            <w:tcW w:w="3106" w:type="dxa"/>
          </w:tcPr>
          <w:p w:rsidR="002C272D" w:rsidRPr="00AF33C8" w:rsidRDefault="002C272D" w:rsidP="008915C0">
            <w:pPr>
              <w:tabs>
                <w:tab w:val="left" w:pos="1800"/>
              </w:tabs>
              <w:autoSpaceDE w:val="0"/>
              <w:autoSpaceDN w:val="0"/>
              <w:adjustRightInd w:val="0"/>
              <w:rPr>
                <w:rFonts w:ascii="Times New Roman" w:hAnsi="Times New Roman"/>
              </w:rPr>
            </w:pPr>
          </w:p>
        </w:tc>
      </w:tr>
      <w:tr w:rsidR="002C272D" w:rsidRPr="00B261C9" w:rsidTr="008915C0">
        <w:trPr>
          <w:trHeight w:val="150"/>
          <w:jc w:val="center"/>
        </w:trPr>
        <w:tc>
          <w:tcPr>
            <w:tcW w:w="3181" w:type="dxa"/>
          </w:tcPr>
          <w:p w:rsidR="002C272D" w:rsidRPr="00AF33C8" w:rsidRDefault="002C272D" w:rsidP="008915C0">
            <w:pPr>
              <w:tabs>
                <w:tab w:val="left" w:pos="1800"/>
              </w:tabs>
              <w:autoSpaceDE w:val="0"/>
              <w:autoSpaceDN w:val="0"/>
              <w:adjustRightInd w:val="0"/>
              <w:rPr>
                <w:rFonts w:ascii="Times New Roman" w:hAnsi="Times New Roman"/>
              </w:rPr>
            </w:pPr>
          </w:p>
        </w:tc>
        <w:tc>
          <w:tcPr>
            <w:tcW w:w="3033" w:type="dxa"/>
          </w:tcPr>
          <w:p w:rsidR="002C272D" w:rsidRPr="00AF33C8" w:rsidRDefault="002C272D" w:rsidP="008915C0">
            <w:pPr>
              <w:tabs>
                <w:tab w:val="left" w:pos="1800"/>
              </w:tabs>
              <w:autoSpaceDE w:val="0"/>
              <w:autoSpaceDN w:val="0"/>
              <w:adjustRightInd w:val="0"/>
              <w:rPr>
                <w:rFonts w:ascii="Times New Roman" w:hAnsi="Times New Roman"/>
              </w:rPr>
            </w:pPr>
          </w:p>
        </w:tc>
        <w:tc>
          <w:tcPr>
            <w:tcW w:w="3106" w:type="dxa"/>
          </w:tcPr>
          <w:p w:rsidR="002C272D" w:rsidRPr="00AF33C8" w:rsidRDefault="002C272D" w:rsidP="008915C0">
            <w:pPr>
              <w:tabs>
                <w:tab w:val="left" w:pos="1800"/>
              </w:tabs>
              <w:autoSpaceDE w:val="0"/>
              <w:autoSpaceDN w:val="0"/>
              <w:adjustRightInd w:val="0"/>
              <w:rPr>
                <w:rFonts w:ascii="Times New Roman" w:hAnsi="Times New Roman"/>
              </w:rPr>
            </w:pPr>
          </w:p>
        </w:tc>
      </w:tr>
      <w:tr w:rsidR="002C272D" w:rsidRPr="00B261C9" w:rsidTr="008915C0">
        <w:trPr>
          <w:trHeight w:val="150"/>
          <w:jc w:val="center"/>
        </w:trPr>
        <w:tc>
          <w:tcPr>
            <w:tcW w:w="3181" w:type="dxa"/>
          </w:tcPr>
          <w:p w:rsidR="002C272D" w:rsidRPr="00AF33C8" w:rsidRDefault="002C272D" w:rsidP="008915C0">
            <w:pPr>
              <w:tabs>
                <w:tab w:val="left" w:pos="1800"/>
              </w:tabs>
              <w:autoSpaceDE w:val="0"/>
              <w:autoSpaceDN w:val="0"/>
              <w:adjustRightInd w:val="0"/>
              <w:rPr>
                <w:rFonts w:ascii="Times New Roman" w:hAnsi="Times New Roman"/>
              </w:rPr>
            </w:pPr>
          </w:p>
        </w:tc>
        <w:tc>
          <w:tcPr>
            <w:tcW w:w="3033" w:type="dxa"/>
          </w:tcPr>
          <w:p w:rsidR="002C272D" w:rsidRPr="009F5663" w:rsidRDefault="002C272D" w:rsidP="008915C0">
            <w:pPr>
              <w:autoSpaceDE w:val="0"/>
              <w:autoSpaceDN w:val="0"/>
              <w:adjustRightInd w:val="0"/>
              <w:spacing w:after="175"/>
              <w:rPr>
                <w:rFonts w:ascii="Times New Roman" w:hAnsi="Times New Roman"/>
                <w:color w:val="221E1F"/>
              </w:rPr>
            </w:pPr>
          </w:p>
        </w:tc>
        <w:tc>
          <w:tcPr>
            <w:tcW w:w="3106" w:type="dxa"/>
          </w:tcPr>
          <w:p w:rsidR="002C272D" w:rsidRPr="00AF33C8" w:rsidRDefault="002C272D" w:rsidP="008915C0">
            <w:pPr>
              <w:tabs>
                <w:tab w:val="left" w:pos="1800"/>
              </w:tabs>
              <w:autoSpaceDE w:val="0"/>
              <w:autoSpaceDN w:val="0"/>
              <w:adjustRightInd w:val="0"/>
              <w:rPr>
                <w:rFonts w:ascii="Times New Roman" w:hAnsi="Times New Roman"/>
              </w:rPr>
            </w:pPr>
          </w:p>
        </w:tc>
      </w:tr>
      <w:tr w:rsidR="002C272D" w:rsidRPr="00B261C9" w:rsidTr="008915C0">
        <w:trPr>
          <w:trHeight w:val="150"/>
          <w:jc w:val="center"/>
        </w:trPr>
        <w:tc>
          <w:tcPr>
            <w:tcW w:w="3181" w:type="dxa"/>
          </w:tcPr>
          <w:p w:rsidR="002C272D" w:rsidRPr="00AF33C8" w:rsidRDefault="002C272D" w:rsidP="008915C0">
            <w:pPr>
              <w:tabs>
                <w:tab w:val="left" w:pos="1800"/>
              </w:tabs>
              <w:autoSpaceDE w:val="0"/>
              <w:autoSpaceDN w:val="0"/>
              <w:adjustRightInd w:val="0"/>
              <w:rPr>
                <w:rFonts w:ascii="Times New Roman" w:hAnsi="Times New Roman"/>
              </w:rPr>
            </w:pPr>
          </w:p>
        </w:tc>
        <w:tc>
          <w:tcPr>
            <w:tcW w:w="3033" w:type="dxa"/>
          </w:tcPr>
          <w:p w:rsidR="002C272D" w:rsidRPr="00AF33C8" w:rsidRDefault="002C272D" w:rsidP="008915C0">
            <w:pPr>
              <w:tabs>
                <w:tab w:val="left" w:pos="1800"/>
              </w:tabs>
              <w:autoSpaceDE w:val="0"/>
              <w:autoSpaceDN w:val="0"/>
              <w:adjustRightInd w:val="0"/>
              <w:rPr>
                <w:rFonts w:ascii="Times New Roman" w:hAnsi="Times New Roman"/>
              </w:rPr>
            </w:pPr>
          </w:p>
        </w:tc>
        <w:tc>
          <w:tcPr>
            <w:tcW w:w="3106" w:type="dxa"/>
          </w:tcPr>
          <w:p w:rsidR="002C272D" w:rsidRPr="00AF33C8" w:rsidRDefault="002C272D" w:rsidP="008915C0">
            <w:pPr>
              <w:tabs>
                <w:tab w:val="left" w:pos="1800"/>
              </w:tabs>
              <w:autoSpaceDE w:val="0"/>
              <w:autoSpaceDN w:val="0"/>
              <w:adjustRightInd w:val="0"/>
              <w:rPr>
                <w:rFonts w:ascii="Times New Roman" w:hAnsi="Times New Roman"/>
              </w:rPr>
            </w:pPr>
          </w:p>
        </w:tc>
      </w:tr>
      <w:tr w:rsidR="002C272D" w:rsidRPr="00B261C9" w:rsidTr="002C272D">
        <w:trPr>
          <w:trHeight w:val="70"/>
          <w:jc w:val="center"/>
        </w:trPr>
        <w:tc>
          <w:tcPr>
            <w:tcW w:w="3181" w:type="dxa"/>
          </w:tcPr>
          <w:p w:rsidR="002C272D" w:rsidRPr="00AF33C8" w:rsidRDefault="002C272D" w:rsidP="008915C0">
            <w:pPr>
              <w:tabs>
                <w:tab w:val="left" w:pos="1800"/>
              </w:tabs>
              <w:autoSpaceDE w:val="0"/>
              <w:autoSpaceDN w:val="0"/>
              <w:adjustRightInd w:val="0"/>
              <w:rPr>
                <w:rFonts w:ascii="Times New Roman" w:hAnsi="Times New Roman"/>
              </w:rPr>
            </w:pPr>
          </w:p>
        </w:tc>
        <w:tc>
          <w:tcPr>
            <w:tcW w:w="3033" w:type="dxa"/>
          </w:tcPr>
          <w:p w:rsidR="002C272D" w:rsidRPr="00AF33C8" w:rsidRDefault="002C272D" w:rsidP="008915C0">
            <w:pPr>
              <w:tabs>
                <w:tab w:val="left" w:pos="1800"/>
              </w:tabs>
              <w:autoSpaceDE w:val="0"/>
              <w:autoSpaceDN w:val="0"/>
              <w:adjustRightInd w:val="0"/>
              <w:rPr>
                <w:rFonts w:ascii="Times New Roman" w:hAnsi="Times New Roman"/>
              </w:rPr>
            </w:pPr>
          </w:p>
        </w:tc>
        <w:tc>
          <w:tcPr>
            <w:tcW w:w="3106" w:type="dxa"/>
          </w:tcPr>
          <w:p w:rsidR="002C272D" w:rsidRPr="00AF33C8" w:rsidRDefault="002C272D" w:rsidP="008915C0">
            <w:pPr>
              <w:tabs>
                <w:tab w:val="left" w:pos="1800"/>
              </w:tabs>
              <w:autoSpaceDE w:val="0"/>
              <w:autoSpaceDN w:val="0"/>
              <w:adjustRightInd w:val="0"/>
              <w:rPr>
                <w:rFonts w:ascii="Times New Roman" w:hAnsi="Times New Roman"/>
              </w:rPr>
            </w:pPr>
          </w:p>
        </w:tc>
      </w:tr>
      <w:tr w:rsidR="002C272D" w:rsidRPr="00B261C9" w:rsidTr="008915C0">
        <w:trPr>
          <w:trHeight w:val="150"/>
          <w:jc w:val="center"/>
        </w:trPr>
        <w:tc>
          <w:tcPr>
            <w:tcW w:w="3181" w:type="dxa"/>
          </w:tcPr>
          <w:p w:rsidR="002C272D" w:rsidRPr="00AF33C8" w:rsidRDefault="002C272D" w:rsidP="008915C0">
            <w:pPr>
              <w:tabs>
                <w:tab w:val="left" w:pos="1800"/>
              </w:tabs>
              <w:autoSpaceDE w:val="0"/>
              <w:autoSpaceDN w:val="0"/>
              <w:adjustRightInd w:val="0"/>
              <w:rPr>
                <w:rFonts w:ascii="Times New Roman" w:hAnsi="Times New Roman"/>
              </w:rPr>
            </w:pPr>
          </w:p>
        </w:tc>
        <w:tc>
          <w:tcPr>
            <w:tcW w:w="3033" w:type="dxa"/>
          </w:tcPr>
          <w:p w:rsidR="002C272D" w:rsidRPr="00AF33C8" w:rsidRDefault="002C272D" w:rsidP="008915C0">
            <w:pPr>
              <w:tabs>
                <w:tab w:val="left" w:pos="1800"/>
              </w:tabs>
              <w:autoSpaceDE w:val="0"/>
              <w:autoSpaceDN w:val="0"/>
              <w:adjustRightInd w:val="0"/>
              <w:rPr>
                <w:rFonts w:ascii="Times New Roman" w:hAnsi="Times New Roman"/>
              </w:rPr>
            </w:pPr>
          </w:p>
        </w:tc>
        <w:tc>
          <w:tcPr>
            <w:tcW w:w="3106" w:type="dxa"/>
          </w:tcPr>
          <w:p w:rsidR="002C272D" w:rsidRPr="00AF33C8" w:rsidRDefault="002C272D" w:rsidP="008915C0">
            <w:pPr>
              <w:tabs>
                <w:tab w:val="left" w:pos="1800"/>
              </w:tabs>
              <w:autoSpaceDE w:val="0"/>
              <w:autoSpaceDN w:val="0"/>
              <w:adjustRightInd w:val="0"/>
              <w:rPr>
                <w:rFonts w:ascii="Times New Roman" w:hAnsi="Times New Roman"/>
              </w:rPr>
            </w:pPr>
          </w:p>
        </w:tc>
      </w:tr>
    </w:tbl>
    <w:p w:rsidR="002C272D" w:rsidRPr="007C0232" w:rsidRDefault="002C272D" w:rsidP="002C272D">
      <w:pPr>
        <w:tabs>
          <w:tab w:val="left" w:pos="1800"/>
        </w:tabs>
        <w:autoSpaceDE w:val="0"/>
        <w:autoSpaceDN w:val="0"/>
        <w:adjustRightInd w:val="0"/>
        <w:rPr>
          <w:rFonts w:ascii="Times New Roman" w:hAnsi="Times New Roman"/>
        </w:rPr>
      </w:pPr>
    </w:p>
    <w:p w:rsidR="00F910D3" w:rsidRPr="007C0232" w:rsidRDefault="00F910D3" w:rsidP="00F910D3">
      <w:pPr>
        <w:tabs>
          <w:tab w:val="left" w:pos="1800"/>
        </w:tabs>
        <w:autoSpaceDE w:val="0"/>
        <w:autoSpaceDN w:val="0"/>
        <w:adjustRightInd w:val="0"/>
        <w:rPr>
          <w:rFonts w:ascii="Times New Roman" w:hAnsi="Times New Roman"/>
          <w:b/>
        </w:rPr>
      </w:pPr>
      <w:r>
        <w:rPr>
          <w:rFonts w:ascii="Times New Roman" w:hAnsi="Times New Roman"/>
          <w:b/>
        </w:rPr>
        <w:t>Third Printing, Second Revision</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3202"/>
        <w:gridCol w:w="3279"/>
      </w:tblGrid>
      <w:tr w:rsidR="00F910D3" w:rsidRPr="00B261C9" w:rsidTr="002C69B3">
        <w:trPr>
          <w:trHeight w:val="144"/>
          <w:jc w:val="center"/>
        </w:trPr>
        <w:tc>
          <w:tcPr>
            <w:tcW w:w="3359" w:type="dxa"/>
            <w:shd w:val="clear" w:color="auto" w:fill="CCFFCC"/>
          </w:tcPr>
          <w:p w:rsidR="00F910D3" w:rsidRPr="00B261C9" w:rsidRDefault="00F910D3" w:rsidP="004C1C6D">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02" w:type="dxa"/>
            <w:shd w:val="clear" w:color="auto" w:fill="CCFFCC"/>
          </w:tcPr>
          <w:p w:rsidR="00F910D3" w:rsidRPr="00B261C9" w:rsidRDefault="00F910D3" w:rsidP="004C1C6D">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279" w:type="dxa"/>
            <w:shd w:val="clear" w:color="auto" w:fill="CCFFCC"/>
          </w:tcPr>
          <w:p w:rsidR="00F910D3" w:rsidRPr="00B261C9" w:rsidRDefault="00F910D3" w:rsidP="004C1C6D">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F910D3" w:rsidRPr="00B261C9" w:rsidTr="002C69B3">
        <w:trPr>
          <w:trHeight w:val="150"/>
          <w:jc w:val="center"/>
        </w:trPr>
        <w:tc>
          <w:tcPr>
            <w:tcW w:w="3359" w:type="dxa"/>
          </w:tcPr>
          <w:p w:rsidR="00F910D3" w:rsidRDefault="00F910D3" w:rsidP="004C1C6D">
            <w:pPr>
              <w:tabs>
                <w:tab w:val="left" w:pos="1800"/>
              </w:tabs>
              <w:autoSpaceDE w:val="0"/>
              <w:autoSpaceDN w:val="0"/>
              <w:adjustRightInd w:val="0"/>
              <w:rPr>
                <w:rFonts w:ascii="Times New Roman" w:hAnsi="Times New Roman"/>
              </w:rPr>
            </w:pPr>
            <w:r>
              <w:rPr>
                <w:rFonts w:ascii="Times New Roman" w:hAnsi="Times New Roman"/>
              </w:rPr>
              <w:t>22, 2</w:t>
            </w:r>
            <w:r w:rsidRPr="00F910D3">
              <w:rPr>
                <w:rFonts w:ascii="Times New Roman" w:hAnsi="Times New Roman"/>
                <w:vertAlign w:val="superscript"/>
              </w:rPr>
              <w:t>nd</w:t>
            </w:r>
            <w:r>
              <w:rPr>
                <w:rFonts w:ascii="Times New Roman" w:hAnsi="Times New Roman"/>
              </w:rPr>
              <w:t xml:space="preserve"> full paragraph</w:t>
            </w:r>
          </w:p>
        </w:tc>
        <w:tc>
          <w:tcPr>
            <w:tcW w:w="3202" w:type="dxa"/>
          </w:tcPr>
          <w:p w:rsidR="00F910D3" w:rsidRPr="00F910D3" w:rsidRDefault="00F910D3" w:rsidP="00F910D3">
            <w:pPr>
              <w:pStyle w:val="Default"/>
              <w:rPr>
                <w:rFonts w:ascii="Adobe Garamond Pro" w:hAnsi="Adobe Garamond Pro" w:cs="Adobe Garamond Pro"/>
              </w:rPr>
            </w:pPr>
            <w:r>
              <w:rPr>
                <w:rFonts w:ascii="Times New Roman" w:hAnsi="Times New Roman"/>
              </w:rPr>
              <w:t>“</w:t>
            </w:r>
            <w:r w:rsidRPr="00F910D3">
              <w:rPr>
                <w:rFonts w:ascii="Adobe Garamond Pro" w:hAnsi="Adobe Garamond Pro"/>
                <w:color w:val="211D1E"/>
                <w:sz w:val="22"/>
                <w:szCs w:val="22"/>
              </w:rPr>
              <w:t>The laws vary among the states, but all are closely linked to climactic and topographical conditions.</w:t>
            </w:r>
            <w:r>
              <w:rPr>
                <w:rFonts w:ascii="Adobe Garamond Pro" w:hAnsi="Adobe Garamond Pro"/>
                <w:color w:val="211D1E"/>
                <w:sz w:val="22"/>
                <w:szCs w:val="22"/>
              </w:rPr>
              <w:t>”</w:t>
            </w:r>
          </w:p>
        </w:tc>
        <w:tc>
          <w:tcPr>
            <w:tcW w:w="3279" w:type="dxa"/>
          </w:tcPr>
          <w:p w:rsidR="00F910D3" w:rsidRDefault="00F910D3" w:rsidP="00F910D3">
            <w:pPr>
              <w:tabs>
                <w:tab w:val="left" w:pos="1800"/>
              </w:tabs>
              <w:autoSpaceDE w:val="0"/>
              <w:autoSpaceDN w:val="0"/>
              <w:adjustRightInd w:val="0"/>
              <w:rPr>
                <w:rFonts w:ascii="Times New Roman" w:hAnsi="Times New Roman"/>
              </w:rPr>
            </w:pPr>
            <w:r>
              <w:rPr>
                <w:rFonts w:ascii="Adobe Garamond Pro" w:hAnsi="Adobe Garamond Pro" w:cs="Adobe Garamond Pro"/>
                <w:color w:val="000000"/>
              </w:rPr>
              <w:t>“</w:t>
            </w:r>
            <w:r w:rsidRPr="00F910D3">
              <w:rPr>
                <w:rFonts w:ascii="Adobe Garamond Pro" w:hAnsi="Adobe Garamond Pro"/>
                <w:color w:val="211D1E"/>
                <w:sz w:val="22"/>
                <w:szCs w:val="22"/>
              </w:rPr>
              <w:t xml:space="preserve">The laws vary among the states, but </w:t>
            </w:r>
            <w:r>
              <w:rPr>
                <w:rFonts w:ascii="Adobe Garamond Pro" w:hAnsi="Adobe Garamond Pro"/>
                <w:color w:val="211D1E"/>
                <w:sz w:val="22"/>
                <w:szCs w:val="22"/>
              </w:rPr>
              <w:t>all are closely linked to clima</w:t>
            </w:r>
            <w:r w:rsidRPr="00F910D3">
              <w:rPr>
                <w:rFonts w:ascii="Adobe Garamond Pro" w:hAnsi="Adobe Garamond Pro"/>
                <w:color w:val="211D1E"/>
                <w:sz w:val="22"/>
                <w:szCs w:val="22"/>
              </w:rPr>
              <w:t>tic and topographical conditions.</w:t>
            </w:r>
            <w:r>
              <w:rPr>
                <w:rFonts w:ascii="Adobe Garamond Pro" w:hAnsi="Adobe Garamond Pro"/>
                <w:color w:val="211D1E"/>
                <w:sz w:val="22"/>
                <w:szCs w:val="22"/>
              </w:rPr>
              <w:t>”</w:t>
            </w:r>
          </w:p>
        </w:tc>
      </w:tr>
      <w:tr w:rsidR="00F910D3" w:rsidRPr="00B261C9" w:rsidTr="002C69B3">
        <w:trPr>
          <w:trHeight w:val="150"/>
          <w:jc w:val="center"/>
        </w:trPr>
        <w:tc>
          <w:tcPr>
            <w:tcW w:w="3359" w:type="dxa"/>
          </w:tcPr>
          <w:p w:rsidR="00F910D3" w:rsidRDefault="002C69B3" w:rsidP="004C1C6D">
            <w:pPr>
              <w:tabs>
                <w:tab w:val="left" w:pos="1800"/>
              </w:tabs>
              <w:autoSpaceDE w:val="0"/>
              <w:autoSpaceDN w:val="0"/>
              <w:adjustRightInd w:val="0"/>
              <w:rPr>
                <w:rFonts w:ascii="Times New Roman" w:hAnsi="Times New Roman"/>
              </w:rPr>
            </w:pPr>
            <w:r>
              <w:rPr>
                <w:rFonts w:ascii="Times New Roman" w:hAnsi="Times New Roman"/>
              </w:rPr>
              <w:t>31, Item 2, Choice B</w:t>
            </w:r>
          </w:p>
        </w:tc>
        <w:tc>
          <w:tcPr>
            <w:tcW w:w="3202" w:type="dxa"/>
          </w:tcPr>
          <w:p w:rsidR="00F910D3" w:rsidRDefault="002C69B3" w:rsidP="004C1C6D">
            <w:pPr>
              <w:tabs>
                <w:tab w:val="left" w:pos="1800"/>
              </w:tabs>
              <w:autoSpaceDE w:val="0"/>
              <w:autoSpaceDN w:val="0"/>
              <w:adjustRightInd w:val="0"/>
              <w:rPr>
                <w:rFonts w:ascii="Times New Roman" w:hAnsi="Times New Roman"/>
              </w:rPr>
            </w:pPr>
            <w:r>
              <w:rPr>
                <w:rFonts w:ascii="Times New Roman" w:hAnsi="Times New Roman"/>
              </w:rPr>
              <w:t xml:space="preserve">“The shelves and tables are </w:t>
            </w:r>
            <w:proofErr w:type="spellStart"/>
            <w:r>
              <w:rPr>
                <w:rFonts w:ascii="Times New Roman" w:hAnsi="Times New Roman"/>
              </w:rPr>
              <w:t>ade</w:t>
            </w:r>
            <w:proofErr w:type="spellEnd"/>
            <w:r>
              <w:rPr>
                <w:rFonts w:ascii="Times New Roman" w:hAnsi="Times New Roman"/>
              </w:rPr>
              <w:t xml:space="preserve"> fixtures…”</w:t>
            </w:r>
          </w:p>
        </w:tc>
        <w:tc>
          <w:tcPr>
            <w:tcW w:w="3279" w:type="dxa"/>
          </w:tcPr>
          <w:p w:rsidR="00F910D3" w:rsidRDefault="002C69B3" w:rsidP="004C1C6D">
            <w:pPr>
              <w:tabs>
                <w:tab w:val="left" w:pos="1800"/>
              </w:tabs>
              <w:autoSpaceDE w:val="0"/>
              <w:autoSpaceDN w:val="0"/>
              <w:adjustRightInd w:val="0"/>
              <w:rPr>
                <w:rFonts w:ascii="Times New Roman" w:hAnsi="Times New Roman"/>
              </w:rPr>
            </w:pPr>
            <w:r>
              <w:rPr>
                <w:rFonts w:ascii="Times New Roman" w:hAnsi="Times New Roman"/>
              </w:rPr>
              <w:t>“The shelves and tables are trade fixtures…”</w:t>
            </w:r>
          </w:p>
        </w:tc>
      </w:tr>
      <w:tr w:rsidR="002C69B3" w:rsidRPr="00B261C9" w:rsidTr="002C69B3">
        <w:trPr>
          <w:trHeight w:val="150"/>
          <w:jc w:val="center"/>
        </w:trPr>
        <w:tc>
          <w:tcPr>
            <w:tcW w:w="3359" w:type="dxa"/>
          </w:tcPr>
          <w:p w:rsidR="002C69B3" w:rsidRDefault="002C69B3" w:rsidP="002C69B3">
            <w:pPr>
              <w:tabs>
                <w:tab w:val="left" w:pos="1800"/>
              </w:tabs>
              <w:autoSpaceDE w:val="0"/>
              <w:autoSpaceDN w:val="0"/>
              <w:adjustRightInd w:val="0"/>
              <w:rPr>
                <w:rFonts w:ascii="Times New Roman" w:hAnsi="Times New Roman"/>
              </w:rPr>
            </w:pPr>
            <w:r>
              <w:rPr>
                <w:rFonts w:ascii="Times New Roman" w:hAnsi="Times New Roman"/>
              </w:rPr>
              <w:t>546, Item 74</w:t>
            </w:r>
          </w:p>
        </w:tc>
        <w:tc>
          <w:tcPr>
            <w:tcW w:w="3202" w:type="dxa"/>
          </w:tcPr>
          <w:p w:rsidR="002C69B3" w:rsidRDefault="002C69B3" w:rsidP="002C69B3">
            <w:pPr>
              <w:tabs>
                <w:tab w:val="left" w:pos="1800"/>
              </w:tabs>
              <w:autoSpaceDE w:val="0"/>
              <w:autoSpaceDN w:val="0"/>
              <w:adjustRightInd w:val="0"/>
              <w:rPr>
                <w:rFonts w:ascii="Times New Roman" w:hAnsi="Times New Roman"/>
              </w:rPr>
            </w:pPr>
            <w:r>
              <w:rPr>
                <w:rFonts w:ascii="Times New Roman" w:hAnsi="Times New Roman"/>
              </w:rPr>
              <w:t>B</w:t>
            </w:r>
          </w:p>
        </w:tc>
        <w:tc>
          <w:tcPr>
            <w:tcW w:w="3279" w:type="dxa"/>
          </w:tcPr>
          <w:p w:rsidR="002C69B3" w:rsidRDefault="002C69B3" w:rsidP="002C69B3">
            <w:pPr>
              <w:tabs>
                <w:tab w:val="left" w:pos="1800"/>
              </w:tabs>
              <w:autoSpaceDE w:val="0"/>
              <w:autoSpaceDN w:val="0"/>
              <w:adjustRightInd w:val="0"/>
              <w:rPr>
                <w:rFonts w:ascii="Times New Roman" w:hAnsi="Times New Roman"/>
              </w:rPr>
            </w:pPr>
            <w:r>
              <w:rPr>
                <w:rFonts w:ascii="Times New Roman" w:hAnsi="Times New Roman"/>
              </w:rPr>
              <w:t>A</w:t>
            </w:r>
          </w:p>
        </w:tc>
      </w:tr>
      <w:tr w:rsidR="002C69B3" w:rsidRPr="00B261C9" w:rsidTr="002C69B3">
        <w:trPr>
          <w:trHeight w:val="150"/>
          <w:jc w:val="center"/>
        </w:trPr>
        <w:tc>
          <w:tcPr>
            <w:tcW w:w="3359" w:type="dxa"/>
          </w:tcPr>
          <w:p w:rsidR="002C69B3" w:rsidRPr="00AF33C8" w:rsidRDefault="002C69B3" w:rsidP="002C69B3">
            <w:pPr>
              <w:tabs>
                <w:tab w:val="left" w:pos="1800"/>
              </w:tabs>
              <w:autoSpaceDE w:val="0"/>
              <w:autoSpaceDN w:val="0"/>
              <w:adjustRightInd w:val="0"/>
              <w:rPr>
                <w:rFonts w:ascii="Times New Roman" w:hAnsi="Times New Roman"/>
              </w:rPr>
            </w:pPr>
          </w:p>
        </w:tc>
        <w:tc>
          <w:tcPr>
            <w:tcW w:w="3202" w:type="dxa"/>
          </w:tcPr>
          <w:p w:rsidR="002C69B3" w:rsidRPr="00AF33C8" w:rsidRDefault="002C69B3" w:rsidP="002C69B3">
            <w:pPr>
              <w:tabs>
                <w:tab w:val="left" w:pos="1800"/>
              </w:tabs>
              <w:autoSpaceDE w:val="0"/>
              <w:autoSpaceDN w:val="0"/>
              <w:adjustRightInd w:val="0"/>
              <w:rPr>
                <w:rFonts w:ascii="Times New Roman" w:hAnsi="Times New Roman"/>
              </w:rPr>
            </w:pPr>
          </w:p>
        </w:tc>
        <w:tc>
          <w:tcPr>
            <w:tcW w:w="3279" w:type="dxa"/>
          </w:tcPr>
          <w:p w:rsidR="002C69B3" w:rsidRPr="00AF33C8" w:rsidRDefault="002C69B3" w:rsidP="002C69B3">
            <w:pPr>
              <w:tabs>
                <w:tab w:val="left" w:pos="1800"/>
              </w:tabs>
              <w:autoSpaceDE w:val="0"/>
              <w:autoSpaceDN w:val="0"/>
              <w:adjustRightInd w:val="0"/>
              <w:rPr>
                <w:rFonts w:ascii="Times New Roman" w:hAnsi="Times New Roman"/>
              </w:rPr>
            </w:pPr>
          </w:p>
        </w:tc>
      </w:tr>
    </w:tbl>
    <w:p w:rsidR="00173F59" w:rsidRDefault="00173F59" w:rsidP="00B261C9">
      <w:pPr>
        <w:tabs>
          <w:tab w:val="left" w:pos="1800"/>
        </w:tabs>
        <w:autoSpaceDE w:val="0"/>
        <w:autoSpaceDN w:val="0"/>
        <w:adjustRightInd w:val="0"/>
        <w:rPr>
          <w:rFonts w:ascii="Times New Roman" w:hAnsi="Times New Roman"/>
        </w:rPr>
      </w:pPr>
    </w:p>
    <w:p w:rsidR="00E64816" w:rsidRPr="007C0232" w:rsidRDefault="00E64816" w:rsidP="00E64816">
      <w:pPr>
        <w:tabs>
          <w:tab w:val="left" w:pos="1800"/>
        </w:tabs>
        <w:autoSpaceDE w:val="0"/>
        <w:autoSpaceDN w:val="0"/>
        <w:adjustRightInd w:val="0"/>
        <w:rPr>
          <w:rFonts w:ascii="Times New Roman" w:hAnsi="Times New Roman"/>
          <w:b/>
        </w:rPr>
      </w:pPr>
      <w:r>
        <w:rPr>
          <w:rFonts w:ascii="Times New Roman" w:hAnsi="Times New Roman"/>
          <w:b/>
        </w:rPr>
        <w:t>Fourth Printing, Third Revision</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3202"/>
        <w:gridCol w:w="3279"/>
      </w:tblGrid>
      <w:tr w:rsidR="00E64816" w:rsidRPr="00B261C9" w:rsidTr="002B4F2B">
        <w:trPr>
          <w:trHeight w:val="144"/>
          <w:jc w:val="center"/>
        </w:trPr>
        <w:tc>
          <w:tcPr>
            <w:tcW w:w="3359" w:type="dxa"/>
            <w:shd w:val="clear" w:color="auto" w:fill="CCFFCC"/>
          </w:tcPr>
          <w:p w:rsidR="00E64816" w:rsidRPr="00B261C9" w:rsidRDefault="00E64816" w:rsidP="002B4F2B">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02" w:type="dxa"/>
            <w:shd w:val="clear" w:color="auto" w:fill="CCFFCC"/>
          </w:tcPr>
          <w:p w:rsidR="00E64816" w:rsidRPr="00B261C9" w:rsidRDefault="00E64816" w:rsidP="002B4F2B">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279" w:type="dxa"/>
            <w:shd w:val="clear" w:color="auto" w:fill="CCFFCC"/>
          </w:tcPr>
          <w:p w:rsidR="00E64816" w:rsidRPr="00B261C9" w:rsidRDefault="00E64816" w:rsidP="002B4F2B">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1F4BA6" w:rsidRPr="00B261C9" w:rsidTr="00E64816">
        <w:trPr>
          <w:trHeight w:val="530"/>
          <w:jc w:val="center"/>
        </w:trPr>
        <w:tc>
          <w:tcPr>
            <w:tcW w:w="3359" w:type="dxa"/>
          </w:tcPr>
          <w:p w:rsidR="001F4BA6" w:rsidRDefault="001F4BA6" w:rsidP="001F4BA6">
            <w:pPr>
              <w:tabs>
                <w:tab w:val="left" w:pos="1800"/>
              </w:tabs>
              <w:autoSpaceDE w:val="0"/>
              <w:autoSpaceDN w:val="0"/>
              <w:adjustRightInd w:val="0"/>
              <w:rPr>
                <w:rFonts w:ascii="Times New Roman" w:hAnsi="Times New Roman"/>
              </w:rPr>
            </w:pPr>
            <w:r>
              <w:rPr>
                <w:rFonts w:ascii="Times New Roman" w:hAnsi="Times New Roman"/>
              </w:rPr>
              <w:t>243, first line</w:t>
            </w:r>
          </w:p>
        </w:tc>
        <w:tc>
          <w:tcPr>
            <w:tcW w:w="3202" w:type="dxa"/>
          </w:tcPr>
          <w:p w:rsidR="001F4BA6" w:rsidRPr="00F910D3" w:rsidRDefault="001F4BA6" w:rsidP="001F4BA6">
            <w:pPr>
              <w:pStyle w:val="Default"/>
              <w:rPr>
                <w:rFonts w:ascii="Adobe Garamond Pro" w:hAnsi="Adobe Garamond Pro" w:cs="Adobe Garamond Pro"/>
              </w:rPr>
            </w:pPr>
            <w:r>
              <w:rPr>
                <w:rFonts w:ascii="Adobe Garamond Pro" w:hAnsi="Adobe Garamond Pro" w:cs="Adobe Garamond Pro"/>
              </w:rPr>
              <w:t>percentage varies based on the type of loan ad military category of the veteran</w:t>
            </w:r>
          </w:p>
        </w:tc>
        <w:tc>
          <w:tcPr>
            <w:tcW w:w="3279" w:type="dxa"/>
          </w:tcPr>
          <w:p w:rsidR="001F4BA6" w:rsidRPr="00F910D3" w:rsidRDefault="001F4BA6" w:rsidP="001F4BA6">
            <w:pPr>
              <w:pStyle w:val="Default"/>
              <w:rPr>
                <w:rFonts w:ascii="Adobe Garamond Pro" w:hAnsi="Adobe Garamond Pro" w:cs="Adobe Garamond Pro"/>
              </w:rPr>
            </w:pPr>
            <w:r>
              <w:rPr>
                <w:rFonts w:ascii="Adobe Garamond Pro" w:hAnsi="Adobe Garamond Pro" w:cs="Adobe Garamond Pro"/>
              </w:rPr>
              <w:t>percentage varies based on the type of loan and military category of the veteran</w:t>
            </w:r>
          </w:p>
        </w:tc>
      </w:tr>
      <w:tr w:rsidR="001F4BA6" w:rsidRPr="00B261C9" w:rsidTr="00E64816">
        <w:trPr>
          <w:trHeight w:val="530"/>
          <w:jc w:val="center"/>
        </w:trPr>
        <w:tc>
          <w:tcPr>
            <w:tcW w:w="3359" w:type="dxa"/>
          </w:tcPr>
          <w:p w:rsidR="001F4BA6" w:rsidRDefault="001F4BA6" w:rsidP="001F4BA6">
            <w:pPr>
              <w:tabs>
                <w:tab w:val="left" w:pos="1800"/>
              </w:tabs>
              <w:autoSpaceDE w:val="0"/>
              <w:autoSpaceDN w:val="0"/>
              <w:adjustRightInd w:val="0"/>
              <w:rPr>
                <w:rFonts w:ascii="Times New Roman" w:hAnsi="Times New Roman"/>
              </w:rPr>
            </w:pPr>
            <w:r>
              <w:rPr>
                <w:rFonts w:ascii="Times New Roman" w:hAnsi="Times New Roman"/>
              </w:rPr>
              <w:t>244, first paragraph, before last sentence</w:t>
            </w:r>
          </w:p>
        </w:tc>
        <w:tc>
          <w:tcPr>
            <w:tcW w:w="3202" w:type="dxa"/>
          </w:tcPr>
          <w:p w:rsidR="001F4BA6" w:rsidRPr="00F910D3" w:rsidRDefault="001F4BA6" w:rsidP="001F4BA6">
            <w:pPr>
              <w:pStyle w:val="Default"/>
              <w:rPr>
                <w:rFonts w:ascii="Adobe Garamond Pro" w:hAnsi="Adobe Garamond Pro" w:cs="Adobe Garamond Pro"/>
              </w:rPr>
            </w:pPr>
          </w:p>
        </w:tc>
        <w:tc>
          <w:tcPr>
            <w:tcW w:w="3279" w:type="dxa"/>
          </w:tcPr>
          <w:p w:rsidR="001F4BA6" w:rsidRDefault="001F4BA6" w:rsidP="001F4BA6">
            <w:pPr>
              <w:tabs>
                <w:tab w:val="left" w:pos="1800"/>
              </w:tabs>
              <w:autoSpaceDE w:val="0"/>
              <w:autoSpaceDN w:val="0"/>
              <w:adjustRightInd w:val="0"/>
              <w:rPr>
                <w:rFonts w:ascii="Times New Roman" w:hAnsi="Times New Roman"/>
              </w:rPr>
            </w:pPr>
            <w:r>
              <w:rPr>
                <w:rFonts w:ascii="Times New Roman" w:hAnsi="Times New Roman"/>
              </w:rPr>
              <w:t>Any loan secured by the property it finances can also be referred to as a purchase money mortgage.</w:t>
            </w:r>
          </w:p>
        </w:tc>
      </w:tr>
      <w:tr w:rsidR="001F4BA6" w:rsidRPr="00B261C9" w:rsidTr="002B4F2B">
        <w:trPr>
          <w:trHeight w:val="150"/>
          <w:jc w:val="center"/>
        </w:trPr>
        <w:tc>
          <w:tcPr>
            <w:tcW w:w="3359" w:type="dxa"/>
          </w:tcPr>
          <w:p w:rsidR="001F4BA6" w:rsidRDefault="001F4BA6" w:rsidP="001F4BA6">
            <w:pPr>
              <w:tabs>
                <w:tab w:val="left" w:pos="1800"/>
              </w:tabs>
              <w:autoSpaceDE w:val="0"/>
              <w:autoSpaceDN w:val="0"/>
              <w:adjustRightInd w:val="0"/>
              <w:rPr>
                <w:rFonts w:ascii="Times New Roman" w:hAnsi="Times New Roman"/>
              </w:rPr>
            </w:pPr>
            <w:r>
              <w:rPr>
                <w:rFonts w:ascii="Times New Roman" w:hAnsi="Times New Roman"/>
              </w:rPr>
              <w:t>296, Bail bond lien</w:t>
            </w:r>
          </w:p>
        </w:tc>
        <w:tc>
          <w:tcPr>
            <w:tcW w:w="3202" w:type="dxa"/>
          </w:tcPr>
          <w:p w:rsidR="001F4BA6" w:rsidRDefault="001F4BA6" w:rsidP="001F4BA6">
            <w:pPr>
              <w:tabs>
                <w:tab w:val="left" w:pos="1800"/>
              </w:tabs>
              <w:autoSpaceDE w:val="0"/>
              <w:autoSpaceDN w:val="0"/>
              <w:adjustRightInd w:val="0"/>
              <w:rPr>
                <w:rFonts w:ascii="Times New Roman" w:hAnsi="Times New Roman"/>
              </w:rPr>
            </w:pPr>
            <w:r w:rsidRPr="000E4813">
              <w:rPr>
                <w:rFonts w:ascii="Adobe Garamond Pro" w:hAnsi="Adobe Garamond Pro"/>
                <w:color w:val="211D1E"/>
                <w:sz w:val="22"/>
                <w:szCs w:val="22"/>
              </w:rPr>
              <w:t xml:space="preserve">The execution and recording of such a bail bond </w:t>
            </w:r>
            <w:proofErr w:type="gramStart"/>
            <w:r w:rsidRPr="000E4813">
              <w:rPr>
                <w:rFonts w:ascii="Adobe Garamond Pro" w:hAnsi="Adobe Garamond Pro"/>
                <w:color w:val="211D1E"/>
                <w:sz w:val="22"/>
                <w:szCs w:val="22"/>
              </w:rPr>
              <w:t>creates</w:t>
            </w:r>
            <w:proofErr w:type="gramEnd"/>
            <w:r w:rsidRPr="000E4813">
              <w:rPr>
                <w:rFonts w:ascii="Adobe Garamond Pro" w:hAnsi="Adobe Garamond Pro"/>
                <w:color w:val="211D1E"/>
                <w:sz w:val="22"/>
                <w:szCs w:val="22"/>
              </w:rPr>
              <w:t xml:space="preserve"> a specific, statutory, voluntary lien against the owner’s real estate.</w:t>
            </w:r>
          </w:p>
        </w:tc>
        <w:tc>
          <w:tcPr>
            <w:tcW w:w="3279" w:type="dxa"/>
          </w:tcPr>
          <w:p w:rsidR="001F4BA6" w:rsidRDefault="001F4BA6" w:rsidP="001F4BA6">
            <w:pPr>
              <w:tabs>
                <w:tab w:val="left" w:pos="1800"/>
              </w:tabs>
              <w:autoSpaceDE w:val="0"/>
              <w:autoSpaceDN w:val="0"/>
              <w:adjustRightInd w:val="0"/>
              <w:rPr>
                <w:rFonts w:ascii="Times New Roman" w:hAnsi="Times New Roman"/>
              </w:rPr>
            </w:pPr>
            <w:r w:rsidRPr="000E4813">
              <w:rPr>
                <w:rFonts w:ascii="Adobe Garamond Pro" w:hAnsi="Adobe Garamond Pro"/>
                <w:color w:val="211D1E"/>
                <w:sz w:val="22"/>
                <w:szCs w:val="22"/>
              </w:rPr>
              <w:t xml:space="preserve">The execution and recording of such a bail bond </w:t>
            </w:r>
            <w:proofErr w:type="gramStart"/>
            <w:r w:rsidRPr="000E4813">
              <w:rPr>
                <w:rFonts w:ascii="Adobe Garamond Pro" w:hAnsi="Adobe Garamond Pro"/>
                <w:color w:val="211D1E"/>
                <w:sz w:val="22"/>
                <w:szCs w:val="22"/>
              </w:rPr>
              <w:t>creates</w:t>
            </w:r>
            <w:proofErr w:type="gramEnd"/>
            <w:r w:rsidRPr="000E4813">
              <w:rPr>
                <w:rFonts w:ascii="Adobe Garamond Pro" w:hAnsi="Adobe Garamond Pro"/>
                <w:color w:val="211D1E"/>
                <w:sz w:val="22"/>
                <w:szCs w:val="22"/>
              </w:rPr>
              <w:t xml:space="preserve"> a specific, voluntary lien against the owner’s real estate.</w:t>
            </w:r>
          </w:p>
        </w:tc>
      </w:tr>
      <w:tr w:rsidR="001F4BA6" w:rsidRPr="00B261C9" w:rsidTr="002B4F2B">
        <w:trPr>
          <w:trHeight w:val="150"/>
          <w:jc w:val="center"/>
        </w:trPr>
        <w:tc>
          <w:tcPr>
            <w:tcW w:w="3359" w:type="dxa"/>
          </w:tcPr>
          <w:p w:rsidR="001F4BA6" w:rsidRDefault="001F4BA6" w:rsidP="001F4BA6">
            <w:pPr>
              <w:tabs>
                <w:tab w:val="left" w:pos="1800"/>
              </w:tabs>
              <w:autoSpaceDE w:val="0"/>
              <w:autoSpaceDN w:val="0"/>
              <w:adjustRightInd w:val="0"/>
              <w:rPr>
                <w:rFonts w:ascii="Times New Roman" w:hAnsi="Times New Roman"/>
              </w:rPr>
            </w:pPr>
            <w:r>
              <w:rPr>
                <w:rFonts w:ascii="Times New Roman" w:hAnsi="Times New Roman"/>
              </w:rPr>
              <w:t>512, purchase money mortgage</w:t>
            </w:r>
          </w:p>
        </w:tc>
        <w:tc>
          <w:tcPr>
            <w:tcW w:w="3202" w:type="dxa"/>
          </w:tcPr>
          <w:p w:rsidR="001F4BA6" w:rsidRDefault="001F4BA6" w:rsidP="001F4BA6">
            <w:pPr>
              <w:tabs>
                <w:tab w:val="left" w:pos="1800"/>
              </w:tabs>
              <w:autoSpaceDE w:val="0"/>
              <w:autoSpaceDN w:val="0"/>
              <w:adjustRightInd w:val="0"/>
              <w:rPr>
                <w:rFonts w:ascii="Times New Roman" w:hAnsi="Times New Roman"/>
              </w:rPr>
            </w:pPr>
            <w:r w:rsidRPr="00E64816">
              <w:rPr>
                <w:rFonts w:ascii="Adobe Garamond Pro" w:hAnsi="Adobe Garamond Pro"/>
                <w:color w:val="221E1F"/>
                <w:sz w:val="21"/>
                <w:szCs w:val="21"/>
              </w:rPr>
              <w:t>A note secured by a mortgage or deed of trust given by a buyer, as borrower, to a seller, as lender, as part of the purchase price of the real estate. (201)</w:t>
            </w:r>
          </w:p>
        </w:tc>
        <w:tc>
          <w:tcPr>
            <w:tcW w:w="3279" w:type="dxa"/>
          </w:tcPr>
          <w:p w:rsidR="001F4BA6" w:rsidRDefault="001F4BA6" w:rsidP="001F4BA6">
            <w:pPr>
              <w:tabs>
                <w:tab w:val="left" w:pos="1800"/>
              </w:tabs>
              <w:autoSpaceDE w:val="0"/>
              <w:autoSpaceDN w:val="0"/>
              <w:adjustRightInd w:val="0"/>
              <w:rPr>
                <w:rFonts w:ascii="Times New Roman" w:hAnsi="Times New Roman"/>
              </w:rPr>
            </w:pPr>
            <w:r w:rsidRPr="00E64816">
              <w:rPr>
                <w:rFonts w:ascii="Adobe Garamond Pro" w:hAnsi="Adobe Garamond Pro"/>
                <w:color w:val="221E1F"/>
                <w:sz w:val="21"/>
                <w:szCs w:val="21"/>
              </w:rPr>
              <w:t>A note secured by a mortgage or deed of trus</w:t>
            </w:r>
            <w:r>
              <w:rPr>
                <w:rFonts w:ascii="Adobe Garamond Pro" w:hAnsi="Adobe Garamond Pro"/>
                <w:color w:val="221E1F"/>
                <w:sz w:val="21"/>
                <w:szCs w:val="21"/>
              </w:rPr>
              <w:t>t given by a buyer to a seller,</w:t>
            </w:r>
            <w:r w:rsidRPr="00E64816">
              <w:rPr>
                <w:rFonts w:ascii="Adobe Garamond Pro" w:hAnsi="Adobe Garamond Pro"/>
                <w:color w:val="221E1F"/>
                <w:sz w:val="21"/>
                <w:szCs w:val="21"/>
              </w:rPr>
              <w:t xml:space="preserve"> as part of the pu</w:t>
            </w:r>
            <w:r>
              <w:rPr>
                <w:rFonts w:ascii="Adobe Garamond Pro" w:hAnsi="Adobe Garamond Pro"/>
                <w:color w:val="221E1F"/>
                <w:sz w:val="21"/>
                <w:szCs w:val="21"/>
              </w:rPr>
              <w:t xml:space="preserve">rchase price of the real estate; </w:t>
            </w:r>
            <w:r w:rsidRPr="00E64816">
              <w:rPr>
                <w:rFonts w:ascii="Adobe Garamond Pro" w:hAnsi="Adobe Garamond Pro"/>
                <w:color w:val="221E1F"/>
                <w:sz w:val="21"/>
                <w:szCs w:val="21"/>
              </w:rPr>
              <w:t>can also refer to any loan secured by the property it finances. (201)</w:t>
            </w:r>
          </w:p>
        </w:tc>
      </w:tr>
      <w:tr w:rsidR="001F4BA6" w:rsidRPr="00B261C9" w:rsidTr="002B4F2B">
        <w:trPr>
          <w:trHeight w:val="150"/>
          <w:jc w:val="center"/>
        </w:trPr>
        <w:tc>
          <w:tcPr>
            <w:tcW w:w="3359" w:type="dxa"/>
          </w:tcPr>
          <w:p w:rsidR="001F4BA6" w:rsidRDefault="001F4BA6" w:rsidP="001F4BA6">
            <w:pPr>
              <w:tabs>
                <w:tab w:val="left" w:pos="1800"/>
              </w:tabs>
              <w:autoSpaceDE w:val="0"/>
              <w:autoSpaceDN w:val="0"/>
              <w:adjustRightInd w:val="0"/>
              <w:rPr>
                <w:rFonts w:ascii="Times New Roman" w:hAnsi="Times New Roman"/>
              </w:rPr>
            </w:pPr>
            <w:r>
              <w:rPr>
                <w:rFonts w:ascii="Times New Roman" w:hAnsi="Times New Roman"/>
              </w:rPr>
              <w:t>534, Unit 13 Quiz, Item 1</w:t>
            </w:r>
          </w:p>
        </w:tc>
        <w:tc>
          <w:tcPr>
            <w:tcW w:w="3202" w:type="dxa"/>
          </w:tcPr>
          <w:p w:rsidR="001F4BA6" w:rsidRPr="00E64816" w:rsidRDefault="001F4BA6" w:rsidP="001F4BA6">
            <w:pPr>
              <w:autoSpaceDE w:val="0"/>
              <w:autoSpaceDN w:val="0"/>
              <w:adjustRightInd w:val="0"/>
              <w:rPr>
                <w:rFonts w:ascii="Adobe Garamond Pro Bold" w:hAnsi="Adobe Garamond Pro Bold" w:cs="Adobe Garamond Pro Bold"/>
                <w:color w:val="000000"/>
              </w:rPr>
            </w:pPr>
          </w:p>
          <w:p w:rsidR="001F4BA6" w:rsidRPr="00E64816" w:rsidRDefault="001F4BA6" w:rsidP="001F4BA6">
            <w:pPr>
              <w:autoSpaceDE w:val="0"/>
              <w:autoSpaceDN w:val="0"/>
              <w:adjustRightInd w:val="0"/>
              <w:rPr>
                <w:rFonts w:ascii="Adobe Garamond Pro" w:hAnsi="Adobe Garamond Pro" w:cs="Adobe Garamond Pro"/>
                <w:color w:val="221E1F"/>
                <w:sz w:val="20"/>
                <w:szCs w:val="20"/>
              </w:rPr>
            </w:pPr>
            <w:r w:rsidRPr="00E64816">
              <w:rPr>
                <w:rFonts w:ascii="Adobe Garamond Pro Bold" w:hAnsi="Adobe Garamond Pro Bold"/>
                <w:b/>
                <w:bCs/>
                <w:color w:val="221E1F"/>
                <w:sz w:val="20"/>
                <w:szCs w:val="20"/>
              </w:rPr>
              <w:t xml:space="preserve">D </w:t>
            </w:r>
            <w:r w:rsidRPr="00E64816">
              <w:rPr>
                <w:rFonts w:ascii="Adobe Garamond Pro" w:hAnsi="Adobe Garamond Pro" w:cs="Adobe Garamond Pro"/>
                <w:color w:val="221E1F"/>
                <w:sz w:val="20"/>
                <w:szCs w:val="20"/>
              </w:rPr>
              <w:t xml:space="preserve">The answer is a purchase money mortgage. The term purchase money mortgage can mean either owner financing or any mortgage used as acquisition debt in the purchase of a property. Here the owner-seller took back a mortgage for $47,000. An owner takeback is a purchase-money mortgage. (244) </w:t>
            </w:r>
          </w:p>
          <w:p w:rsidR="001F4BA6" w:rsidRDefault="001F4BA6" w:rsidP="001F4BA6">
            <w:pPr>
              <w:tabs>
                <w:tab w:val="left" w:pos="1800"/>
              </w:tabs>
              <w:autoSpaceDE w:val="0"/>
              <w:autoSpaceDN w:val="0"/>
              <w:adjustRightInd w:val="0"/>
              <w:rPr>
                <w:rFonts w:ascii="Times New Roman" w:hAnsi="Times New Roman"/>
              </w:rPr>
            </w:pPr>
          </w:p>
        </w:tc>
        <w:tc>
          <w:tcPr>
            <w:tcW w:w="3279" w:type="dxa"/>
          </w:tcPr>
          <w:p w:rsidR="001F4BA6" w:rsidRPr="00E64816" w:rsidRDefault="001F4BA6" w:rsidP="001F4BA6">
            <w:pPr>
              <w:autoSpaceDE w:val="0"/>
              <w:autoSpaceDN w:val="0"/>
              <w:adjustRightInd w:val="0"/>
              <w:rPr>
                <w:rFonts w:ascii="Adobe Garamond Pro Bold" w:hAnsi="Adobe Garamond Pro Bold" w:cs="Adobe Garamond Pro Bold"/>
                <w:color w:val="000000"/>
              </w:rPr>
            </w:pPr>
          </w:p>
          <w:p w:rsidR="001F4BA6" w:rsidRPr="00E64816" w:rsidRDefault="001F4BA6" w:rsidP="001F4BA6">
            <w:pPr>
              <w:autoSpaceDE w:val="0"/>
              <w:autoSpaceDN w:val="0"/>
              <w:adjustRightInd w:val="0"/>
              <w:rPr>
                <w:rFonts w:ascii="Adobe Garamond Pro" w:hAnsi="Adobe Garamond Pro" w:cs="Adobe Garamond Pro"/>
                <w:color w:val="221E1F"/>
                <w:sz w:val="20"/>
                <w:szCs w:val="20"/>
              </w:rPr>
            </w:pPr>
            <w:r w:rsidRPr="00E64816">
              <w:rPr>
                <w:rFonts w:ascii="Adobe Garamond Pro Bold" w:hAnsi="Adobe Garamond Pro Bold"/>
                <w:b/>
                <w:bCs/>
                <w:color w:val="221E1F"/>
                <w:sz w:val="20"/>
                <w:szCs w:val="20"/>
              </w:rPr>
              <w:t xml:space="preserve">D </w:t>
            </w:r>
            <w:r w:rsidRPr="00E64816">
              <w:rPr>
                <w:rFonts w:ascii="Adobe Garamond Pro" w:hAnsi="Adobe Garamond Pro" w:cs="Adobe Garamond Pro"/>
                <w:color w:val="221E1F"/>
                <w:sz w:val="20"/>
                <w:szCs w:val="20"/>
              </w:rPr>
              <w:t>The answer is a purchase money mortgage. The term purchase money mortgage can mean either owner financing or any mortgage used as acquisition deb</w:t>
            </w:r>
            <w:r>
              <w:rPr>
                <w:rFonts w:ascii="Adobe Garamond Pro" w:hAnsi="Adobe Garamond Pro" w:cs="Adobe Garamond Pro"/>
                <w:color w:val="221E1F"/>
                <w:sz w:val="20"/>
                <w:szCs w:val="20"/>
              </w:rPr>
              <w:t>t in the purchase of a property</w:t>
            </w:r>
            <w:r w:rsidRPr="00E64816">
              <w:rPr>
                <w:rFonts w:ascii="Adobe Garamond Pro" w:hAnsi="Adobe Garamond Pro" w:cs="Adobe Garamond Pro"/>
                <w:color w:val="221E1F"/>
                <w:sz w:val="20"/>
                <w:szCs w:val="20"/>
              </w:rPr>
              <w:t xml:space="preserve">. (244) </w:t>
            </w:r>
          </w:p>
          <w:p w:rsidR="001F4BA6" w:rsidRDefault="001F4BA6" w:rsidP="001F4BA6">
            <w:pPr>
              <w:tabs>
                <w:tab w:val="left" w:pos="1800"/>
              </w:tabs>
              <w:autoSpaceDE w:val="0"/>
              <w:autoSpaceDN w:val="0"/>
              <w:adjustRightInd w:val="0"/>
              <w:rPr>
                <w:rFonts w:ascii="Times New Roman" w:hAnsi="Times New Roman"/>
              </w:rPr>
            </w:pPr>
          </w:p>
        </w:tc>
      </w:tr>
      <w:tr w:rsidR="00F17604" w:rsidRPr="00B261C9" w:rsidTr="002B4F2B">
        <w:trPr>
          <w:trHeight w:val="150"/>
          <w:jc w:val="center"/>
        </w:trPr>
        <w:tc>
          <w:tcPr>
            <w:tcW w:w="3359" w:type="dxa"/>
          </w:tcPr>
          <w:p w:rsidR="00F17604" w:rsidRPr="007C0232" w:rsidRDefault="00F17604" w:rsidP="00F17604">
            <w:pPr>
              <w:tabs>
                <w:tab w:val="left" w:pos="1800"/>
              </w:tabs>
              <w:autoSpaceDE w:val="0"/>
              <w:autoSpaceDN w:val="0"/>
              <w:adjustRightInd w:val="0"/>
              <w:rPr>
                <w:rFonts w:ascii="Times New Roman" w:hAnsi="Times New Roman"/>
                <w:b/>
              </w:rPr>
            </w:pPr>
            <w:r>
              <w:rPr>
                <w:rFonts w:ascii="Times New Roman" w:hAnsi="Times New Roman"/>
                <w:b/>
              </w:rPr>
              <w:lastRenderedPageBreak/>
              <w:t>Fourth Printing, Third Revision</w:t>
            </w:r>
          </w:p>
          <w:p w:rsidR="00F17604" w:rsidRDefault="00F17604" w:rsidP="001F4BA6">
            <w:pPr>
              <w:tabs>
                <w:tab w:val="left" w:pos="1800"/>
              </w:tabs>
              <w:autoSpaceDE w:val="0"/>
              <w:autoSpaceDN w:val="0"/>
              <w:adjustRightInd w:val="0"/>
              <w:rPr>
                <w:rFonts w:ascii="Times New Roman" w:hAnsi="Times New Roman"/>
              </w:rPr>
            </w:pPr>
          </w:p>
        </w:tc>
        <w:tc>
          <w:tcPr>
            <w:tcW w:w="3202" w:type="dxa"/>
          </w:tcPr>
          <w:p w:rsidR="00F17604" w:rsidRPr="00E64816" w:rsidRDefault="00F17604" w:rsidP="001F4BA6">
            <w:pPr>
              <w:autoSpaceDE w:val="0"/>
              <w:autoSpaceDN w:val="0"/>
              <w:adjustRightInd w:val="0"/>
              <w:rPr>
                <w:rFonts w:ascii="Adobe Garamond Pro Bold" w:hAnsi="Adobe Garamond Pro Bold" w:cs="Adobe Garamond Pro Bold"/>
                <w:color w:val="000000"/>
              </w:rPr>
            </w:pPr>
          </w:p>
        </w:tc>
        <w:tc>
          <w:tcPr>
            <w:tcW w:w="3279" w:type="dxa"/>
          </w:tcPr>
          <w:p w:rsidR="00F17604" w:rsidRPr="00E64816" w:rsidRDefault="00F17604" w:rsidP="001F4BA6">
            <w:pPr>
              <w:autoSpaceDE w:val="0"/>
              <w:autoSpaceDN w:val="0"/>
              <w:adjustRightInd w:val="0"/>
              <w:rPr>
                <w:rFonts w:ascii="Adobe Garamond Pro Bold" w:hAnsi="Adobe Garamond Pro Bold" w:cs="Adobe Garamond Pro Bold"/>
                <w:color w:val="000000"/>
              </w:rPr>
            </w:pPr>
          </w:p>
        </w:tc>
      </w:tr>
      <w:tr w:rsidR="00F17604" w:rsidRPr="00B261C9" w:rsidTr="00F17604">
        <w:trPr>
          <w:trHeight w:val="150"/>
          <w:jc w:val="center"/>
        </w:trPr>
        <w:tc>
          <w:tcPr>
            <w:tcW w:w="3359" w:type="dxa"/>
            <w:tcBorders>
              <w:top w:val="single" w:sz="4" w:space="0" w:color="auto"/>
              <w:left w:val="single" w:sz="4" w:space="0" w:color="auto"/>
              <w:bottom w:val="single" w:sz="4" w:space="0" w:color="auto"/>
              <w:right w:val="single" w:sz="4" w:space="0" w:color="auto"/>
            </w:tcBorders>
            <w:shd w:val="clear" w:color="auto" w:fill="CCFFCC"/>
          </w:tcPr>
          <w:p w:rsidR="00F17604" w:rsidRDefault="00F17604" w:rsidP="00F17604">
            <w:pPr>
              <w:tabs>
                <w:tab w:val="left" w:pos="1800"/>
              </w:tabs>
              <w:autoSpaceDE w:val="0"/>
              <w:autoSpaceDN w:val="0"/>
              <w:adjustRightInd w:val="0"/>
              <w:rPr>
                <w:rFonts w:ascii="Times New Roman" w:hAnsi="Times New Roman"/>
              </w:rPr>
            </w:pPr>
          </w:p>
          <w:p w:rsidR="00F17604" w:rsidRPr="00F17604" w:rsidRDefault="00F17604" w:rsidP="00F17604">
            <w:pPr>
              <w:tabs>
                <w:tab w:val="left" w:pos="1800"/>
              </w:tabs>
              <w:autoSpaceDE w:val="0"/>
              <w:autoSpaceDN w:val="0"/>
              <w:adjustRightInd w:val="0"/>
              <w:rPr>
                <w:rFonts w:ascii="Times New Roman" w:hAnsi="Times New Roman"/>
              </w:rPr>
            </w:pPr>
            <w:r w:rsidRPr="00F17604">
              <w:rPr>
                <w:rFonts w:ascii="Times New Roman" w:hAnsi="Times New Roman"/>
              </w:rPr>
              <w:t>Page/Location</w:t>
            </w:r>
          </w:p>
        </w:tc>
        <w:tc>
          <w:tcPr>
            <w:tcW w:w="3202" w:type="dxa"/>
            <w:tcBorders>
              <w:top w:val="single" w:sz="4" w:space="0" w:color="auto"/>
              <w:left w:val="single" w:sz="4" w:space="0" w:color="auto"/>
              <w:bottom w:val="single" w:sz="4" w:space="0" w:color="auto"/>
              <w:right w:val="single" w:sz="4" w:space="0" w:color="auto"/>
            </w:tcBorders>
            <w:shd w:val="clear" w:color="auto" w:fill="CCFFCC"/>
          </w:tcPr>
          <w:p w:rsidR="00F17604" w:rsidRPr="00F17604" w:rsidRDefault="00F17604" w:rsidP="00F17604">
            <w:pPr>
              <w:autoSpaceDE w:val="0"/>
              <w:autoSpaceDN w:val="0"/>
              <w:adjustRightInd w:val="0"/>
              <w:rPr>
                <w:rFonts w:ascii="Adobe Garamond Pro Bold" w:hAnsi="Adobe Garamond Pro Bold" w:cs="Adobe Garamond Pro Bold"/>
                <w:color w:val="000000"/>
              </w:rPr>
            </w:pPr>
            <w:r w:rsidRPr="00F17604">
              <w:rPr>
                <w:rFonts w:ascii="Adobe Garamond Pro Bold" w:hAnsi="Adobe Garamond Pro Bold" w:cs="Adobe Garamond Pro Bold"/>
                <w:color w:val="000000"/>
              </w:rPr>
              <w:t>Reads Now</w:t>
            </w:r>
          </w:p>
        </w:tc>
        <w:tc>
          <w:tcPr>
            <w:tcW w:w="3279" w:type="dxa"/>
            <w:tcBorders>
              <w:top w:val="single" w:sz="4" w:space="0" w:color="auto"/>
              <w:left w:val="single" w:sz="4" w:space="0" w:color="auto"/>
              <w:bottom w:val="single" w:sz="4" w:space="0" w:color="auto"/>
              <w:right w:val="single" w:sz="4" w:space="0" w:color="auto"/>
            </w:tcBorders>
            <w:shd w:val="clear" w:color="auto" w:fill="CCFFCC"/>
          </w:tcPr>
          <w:p w:rsidR="00F17604" w:rsidRPr="00F17604" w:rsidRDefault="00F17604" w:rsidP="00F17604">
            <w:pPr>
              <w:autoSpaceDE w:val="0"/>
              <w:autoSpaceDN w:val="0"/>
              <w:adjustRightInd w:val="0"/>
              <w:rPr>
                <w:rFonts w:ascii="Adobe Garamond Pro Bold" w:hAnsi="Adobe Garamond Pro Bold" w:cs="Adobe Garamond Pro Bold"/>
                <w:color w:val="000000"/>
              </w:rPr>
            </w:pPr>
            <w:r w:rsidRPr="00F17604">
              <w:rPr>
                <w:rFonts w:ascii="Adobe Garamond Pro Bold" w:hAnsi="Adobe Garamond Pro Bold" w:cs="Adobe Garamond Pro Bold"/>
                <w:color w:val="000000"/>
              </w:rPr>
              <w:t>Should Be</w:t>
            </w:r>
          </w:p>
        </w:tc>
      </w:tr>
      <w:tr w:rsidR="00F17604" w:rsidRPr="00B261C9" w:rsidTr="00F17604">
        <w:trPr>
          <w:trHeight w:val="150"/>
          <w:jc w:val="center"/>
        </w:trPr>
        <w:tc>
          <w:tcPr>
            <w:tcW w:w="3359" w:type="dxa"/>
            <w:tcBorders>
              <w:top w:val="single" w:sz="4" w:space="0" w:color="auto"/>
              <w:left w:val="single" w:sz="4" w:space="0" w:color="auto"/>
              <w:bottom w:val="single" w:sz="4" w:space="0" w:color="auto"/>
              <w:right w:val="single" w:sz="4" w:space="0" w:color="auto"/>
            </w:tcBorders>
          </w:tcPr>
          <w:p w:rsidR="00F17604" w:rsidRDefault="00F17604" w:rsidP="001B27A6">
            <w:pPr>
              <w:tabs>
                <w:tab w:val="left" w:pos="1800"/>
              </w:tabs>
              <w:autoSpaceDE w:val="0"/>
              <w:autoSpaceDN w:val="0"/>
              <w:adjustRightInd w:val="0"/>
              <w:rPr>
                <w:rFonts w:ascii="Times New Roman" w:hAnsi="Times New Roman"/>
              </w:rPr>
            </w:pPr>
            <w:r>
              <w:rPr>
                <w:rFonts w:ascii="Times New Roman" w:hAnsi="Times New Roman"/>
              </w:rPr>
              <w:t>255, Key Terms list, 2</w:t>
            </w:r>
            <w:r w:rsidRPr="00F17604">
              <w:rPr>
                <w:rFonts w:ascii="Times New Roman" w:hAnsi="Times New Roman"/>
                <w:vertAlign w:val="superscript"/>
              </w:rPr>
              <w:t>nd</w:t>
            </w:r>
            <w:r>
              <w:rPr>
                <w:rFonts w:ascii="Times New Roman" w:hAnsi="Times New Roman"/>
              </w:rPr>
              <w:t xml:space="preserve"> column</w:t>
            </w:r>
          </w:p>
        </w:tc>
        <w:tc>
          <w:tcPr>
            <w:tcW w:w="3202" w:type="dxa"/>
            <w:tcBorders>
              <w:top w:val="single" w:sz="4" w:space="0" w:color="auto"/>
              <w:left w:val="single" w:sz="4" w:space="0" w:color="auto"/>
              <w:bottom w:val="single" w:sz="4" w:space="0" w:color="auto"/>
              <w:right w:val="single" w:sz="4" w:space="0" w:color="auto"/>
            </w:tcBorders>
          </w:tcPr>
          <w:p w:rsidR="00F17604" w:rsidRPr="00F17604" w:rsidRDefault="00F17604" w:rsidP="00F17604">
            <w:pPr>
              <w:rPr>
                <w:rFonts w:ascii="Adobe Garamond Pro Bold" w:hAnsi="Adobe Garamond Pro Bold" w:cs="Adobe Garamond Pro Bold"/>
                <w:color w:val="000000"/>
              </w:rPr>
            </w:pPr>
            <w:r>
              <w:rPr>
                <w:rFonts w:ascii="Adobe Garamond Pro Bold" w:hAnsi="Adobe Garamond Pro Bold" w:cs="Adobe Garamond Pro Bold"/>
                <w:color w:val="000000"/>
              </w:rPr>
              <w:t>mortgage servicing transfer statement prepaid items</w:t>
            </w:r>
          </w:p>
        </w:tc>
        <w:tc>
          <w:tcPr>
            <w:tcW w:w="3279" w:type="dxa"/>
            <w:tcBorders>
              <w:top w:val="single" w:sz="4" w:space="0" w:color="auto"/>
              <w:left w:val="single" w:sz="4" w:space="0" w:color="auto"/>
              <w:bottom w:val="single" w:sz="4" w:space="0" w:color="auto"/>
              <w:right w:val="single" w:sz="4" w:space="0" w:color="auto"/>
            </w:tcBorders>
          </w:tcPr>
          <w:p w:rsidR="00F17604" w:rsidRDefault="00F17604" w:rsidP="00F17604">
            <w:pPr>
              <w:rPr>
                <w:rFonts w:ascii="Adobe Garamond Pro Bold" w:hAnsi="Adobe Garamond Pro Bold" w:cs="Adobe Garamond Pro Bold"/>
                <w:color w:val="000000"/>
              </w:rPr>
            </w:pPr>
            <w:r>
              <w:rPr>
                <w:rFonts w:ascii="Adobe Garamond Pro Bold" w:hAnsi="Adobe Garamond Pro Bold" w:cs="Adobe Garamond Pro Bold"/>
                <w:color w:val="000000"/>
              </w:rPr>
              <w:t xml:space="preserve">mortgage servicing transfer statement </w:t>
            </w:r>
          </w:p>
          <w:p w:rsidR="00F17604" w:rsidRPr="00F17604" w:rsidRDefault="00F17604" w:rsidP="00F17604">
            <w:pPr>
              <w:rPr>
                <w:rFonts w:ascii="Adobe Garamond Pro Bold" w:hAnsi="Adobe Garamond Pro Bold" w:cs="Adobe Garamond Pro Bold"/>
                <w:color w:val="000000"/>
              </w:rPr>
            </w:pPr>
            <w:r>
              <w:rPr>
                <w:rFonts w:ascii="Adobe Garamond Pro Bold" w:hAnsi="Adobe Garamond Pro Bold" w:cs="Adobe Garamond Pro Bold"/>
                <w:color w:val="000000"/>
              </w:rPr>
              <w:t>prepaid items</w:t>
            </w:r>
          </w:p>
        </w:tc>
      </w:tr>
      <w:tr w:rsidR="00F17604" w:rsidRPr="00B261C9" w:rsidTr="00F17604">
        <w:trPr>
          <w:trHeight w:val="150"/>
          <w:jc w:val="center"/>
        </w:trPr>
        <w:tc>
          <w:tcPr>
            <w:tcW w:w="3359" w:type="dxa"/>
            <w:tcBorders>
              <w:top w:val="single" w:sz="4" w:space="0" w:color="auto"/>
              <w:left w:val="single" w:sz="4" w:space="0" w:color="auto"/>
              <w:bottom w:val="single" w:sz="4" w:space="0" w:color="auto"/>
              <w:right w:val="single" w:sz="4" w:space="0" w:color="auto"/>
            </w:tcBorders>
          </w:tcPr>
          <w:p w:rsidR="00F17604" w:rsidRDefault="00F17604" w:rsidP="001B27A6">
            <w:pPr>
              <w:tabs>
                <w:tab w:val="left" w:pos="1800"/>
              </w:tabs>
              <w:autoSpaceDE w:val="0"/>
              <w:autoSpaceDN w:val="0"/>
              <w:adjustRightInd w:val="0"/>
              <w:rPr>
                <w:rFonts w:ascii="Times New Roman" w:hAnsi="Times New Roman"/>
              </w:rPr>
            </w:pPr>
            <w:r>
              <w:rPr>
                <w:rFonts w:ascii="Times New Roman" w:hAnsi="Times New Roman"/>
              </w:rPr>
              <w:t>517, Glossary</w:t>
            </w:r>
          </w:p>
        </w:tc>
        <w:tc>
          <w:tcPr>
            <w:tcW w:w="3202" w:type="dxa"/>
            <w:tcBorders>
              <w:top w:val="single" w:sz="4" w:space="0" w:color="auto"/>
              <w:left w:val="single" w:sz="4" w:space="0" w:color="auto"/>
              <w:bottom w:val="single" w:sz="4" w:space="0" w:color="auto"/>
              <w:right w:val="single" w:sz="4" w:space="0" w:color="auto"/>
            </w:tcBorders>
          </w:tcPr>
          <w:p w:rsidR="00F17604" w:rsidRPr="00F17604" w:rsidRDefault="00F17604" w:rsidP="00F17604">
            <w:pPr>
              <w:rPr>
                <w:rFonts w:ascii="Adobe Garamond Pro Bold" w:hAnsi="Adobe Garamond Pro Bold" w:cs="Adobe Garamond Pro Bold"/>
                <w:color w:val="000000"/>
              </w:rPr>
            </w:pPr>
            <w:r>
              <w:rPr>
                <w:rFonts w:ascii="Adobe Garamond Pro Bold" w:hAnsi="Adobe Garamond Pro Bold" w:cs="Adobe Garamond Pro Bold"/>
                <w:color w:val="000000"/>
              </w:rPr>
              <w:t>ADD TERM</w:t>
            </w:r>
          </w:p>
        </w:tc>
        <w:tc>
          <w:tcPr>
            <w:tcW w:w="3279" w:type="dxa"/>
            <w:tcBorders>
              <w:top w:val="single" w:sz="4" w:space="0" w:color="auto"/>
              <w:left w:val="single" w:sz="4" w:space="0" w:color="auto"/>
              <w:bottom w:val="single" w:sz="4" w:space="0" w:color="auto"/>
              <w:right w:val="single" w:sz="4" w:space="0" w:color="auto"/>
            </w:tcBorders>
          </w:tcPr>
          <w:p w:rsidR="00F17604" w:rsidRPr="00F17604" w:rsidRDefault="00F17604" w:rsidP="00F17604">
            <w:pPr>
              <w:autoSpaceDE w:val="0"/>
              <w:autoSpaceDN w:val="0"/>
              <w:adjustRightInd w:val="0"/>
              <w:rPr>
                <w:rFonts w:ascii="Adobe Garamond Pro Bold" w:hAnsi="Adobe Garamond Pro Bold" w:cs="Adobe Garamond Pro Bold"/>
                <w:color w:val="000000"/>
              </w:rPr>
            </w:pPr>
            <w:r>
              <w:rPr>
                <w:rFonts w:ascii="Segoe UI" w:hAnsi="Segoe UI" w:cs="Segoe UI"/>
                <w:b/>
                <w:bCs/>
                <w:color w:val="1F1B1C"/>
                <w:sz w:val="20"/>
                <w:szCs w:val="20"/>
              </w:rPr>
              <w:t xml:space="preserve">TILA-RESPA Integrated Disclosure Rule (TRID) </w:t>
            </w:r>
            <w:r>
              <w:rPr>
                <w:rFonts w:ascii="Segoe UI" w:hAnsi="Segoe UI" w:cs="Segoe UI"/>
                <w:color w:val="1F1B1C"/>
                <w:sz w:val="20"/>
                <w:szCs w:val="20"/>
              </w:rPr>
              <w:t>Rule that implements provisions of the Dodd-Frank Act intended to combine and clarify financing disclosures to consumers. (263)</w:t>
            </w:r>
            <w:bookmarkStart w:id="0" w:name="_GoBack"/>
            <w:bookmarkEnd w:id="0"/>
          </w:p>
        </w:tc>
      </w:tr>
      <w:tr w:rsidR="00F17604" w:rsidRPr="00B261C9" w:rsidTr="00F17604">
        <w:trPr>
          <w:trHeight w:val="150"/>
          <w:jc w:val="center"/>
        </w:trPr>
        <w:tc>
          <w:tcPr>
            <w:tcW w:w="3359" w:type="dxa"/>
            <w:tcBorders>
              <w:top w:val="single" w:sz="4" w:space="0" w:color="auto"/>
              <w:left w:val="single" w:sz="4" w:space="0" w:color="auto"/>
              <w:bottom w:val="single" w:sz="4" w:space="0" w:color="auto"/>
              <w:right w:val="single" w:sz="4" w:space="0" w:color="auto"/>
            </w:tcBorders>
          </w:tcPr>
          <w:p w:rsidR="00F17604" w:rsidRDefault="00F17604" w:rsidP="001B27A6">
            <w:pPr>
              <w:tabs>
                <w:tab w:val="left" w:pos="1800"/>
              </w:tabs>
              <w:autoSpaceDE w:val="0"/>
              <w:autoSpaceDN w:val="0"/>
              <w:adjustRightInd w:val="0"/>
              <w:rPr>
                <w:rFonts w:ascii="Times New Roman" w:hAnsi="Times New Roman"/>
              </w:rPr>
            </w:pPr>
          </w:p>
        </w:tc>
        <w:tc>
          <w:tcPr>
            <w:tcW w:w="3202" w:type="dxa"/>
            <w:tcBorders>
              <w:top w:val="single" w:sz="4" w:space="0" w:color="auto"/>
              <w:left w:val="single" w:sz="4" w:space="0" w:color="auto"/>
              <w:bottom w:val="single" w:sz="4" w:space="0" w:color="auto"/>
              <w:right w:val="single" w:sz="4" w:space="0" w:color="auto"/>
            </w:tcBorders>
          </w:tcPr>
          <w:p w:rsidR="00F17604" w:rsidRPr="00F17604" w:rsidRDefault="00F17604" w:rsidP="00F17604">
            <w:pPr>
              <w:autoSpaceDE w:val="0"/>
              <w:autoSpaceDN w:val="0"/>
              <w:adjustRightInd w:val="0"/>
              <w:rPr>
                <w:rFonts w:ascii="Adobe Garamond Pro Bold" w:hAnsi="Adobe Garamond Pro Bold" w:cs="Adobe Garamond Pro Bold"/>
                <w:color w:val="000000"/>
              </w:rPr>
            </w:pPr>
          </w:p>
        </w:tc>
        <w:tc>
          <w:tcPr>
            <w:tcW w:w="3279" w:type="dxa"/>
            <w:tcBorders>
              <w:top w:val="single" w:sz="4" w:space="0" w:color="auto"/>
              <w:left w:val="single" w:sz="4" w:space="0" w:color="auto"/>
              <w:bottom w:val="single" w:sz="4" w:space="0" w:color="auto"/>
              <w:right w:val="single" w:sz="4" w:space="0" w:color="auto"/>
            </w:tcBorders>
          </w:tcPr>
          <w:p w:rsidR="00F17604" w:rsidRPr="00F17604" w:rsidRDefault="00F17604" w:rsidP="00F17604">
            <w:pPr>
              <w:autoSpaceDE w:val="0"/>
              <w:autoSpaceDN w:val="0"/>
              <w:adjustRightInd w:val="0"/>
              <w:rPr>
                <w:rFonts w:ascii="Adobe Garamond Pro Bold" w:hAnsi="Adobe Garamond Pro Bold" w:cs="Adobe Garamond Pro Bold"/>
                <w:color w:val="000000"/>
              </w:rPr>
            </w:pPr>
          </w:p>
        </w:tc>
      </w:tr>
      <w:tr w:rsidR="00F17604" w:rsidRPr="00B261C9" w:rsidTr="00F17604">
        <w:trPr>
          <w:trHeight w:val="150"/>
          <w:jc w:val="center"/>
        </w:trPr>
        <w:tc>
          <w:tcPr>
            <w:tcW w:w="3359" w:type="dxa"/>
            <w:tcBorders>
              <w:top w:val="single" w:sz="4" w:space="0" w:color="auto"/>
              <w:left w:val="single" w:sz="4" w:space="0" w:color="auto"/>
              <w:bottom w:val="single" w:sz="4" w:space="0" w:color="auto"/>
              <w:right w:val="single" w:sz="4" w:space="0" w:color="auto"/>
            </w:tcBorders>
          </w:tcPr>
          <w:p w:rsidR="00F17604" w:rsidRDefault="00F17604" w:rsidP="001B27A6">
            <w:pPr>
              <w:tabs>
                <w:tab w:val="left" w:pos="1800"/>
              </w:tabs>
              <w:autoSpaceDE w:val="0"/>
              <w:autoSpaceDN w:val="0"/>
              <w:adjustRightInd w:val="0"/>
              <w:rPr>
                <w:rFonts w:ascii="Times New Roman" w:hAnsi="Times New Roman"/>
              </w:rPr>
            </w:pPr>
          </w:p>
        </w:tc>
        <w:tc>
          <w:tcPr>
            <w:tcW w:w="3202" w:type="dxa"/>
            <w:tcBorders>
              <w:top w:val="single" w:sz="4" w:space="0" w:color="auto"/>
              <w:left w:val="single" w:sz="4" w:space="0" w:color="auto"/>
              <w:bottom w:val="single" w:sz="4" w:space="0" w:color="auto"/>
              <w:right w:val="single" w:sz="4" w:space="0" w:color="auto"/>
            </w:tcBorders>
          </w:tcPr>
          <w:p w:rsidR="00F17604" w:rsidRPr="00F17604" w:rsidRDefault="00F17604" w:rsidP="00F17604">
            <w:pPr>
              <w:autoSpaceDE w:val="0"/>
              <w:autoSpaceDN w:val="0"/>
              <w:adjustRightInd w:val="0"/>
              <w:rPr>
                <w:rFonts w:ascii="Adobe Garamond Pro Bold" w:hAnsi="Adobe Garamond Pro Bold" w:cs="Adobe Garamond Pro Bold"/>
                <w:color w:val="000000"/>
              </w:rPr>
            </w:pPr>
          </w:p>
        </w:tc>
        <w:tc>
          <w:tcPr>
            <w:tcW w:w="3279" w:type="dxa"/>
            <w:tcBorders>
              <w:top w:val="single" w:sz="4" w:space="0" w:color="auto"/>
              <w:left w:val="single" w:sz="4" w:space="0" w:color="auto"/>
              <w:bottom w:val="single" w:sz="4" w:space="0" w:color="auto"/>
              <w:right w:val="single" w:sz="4" w:space="0" w:color="auto"/>
            </w:tcBorders>
          </w:tcPr>
          <w:p w:rsidR="00F17604" w:rsidRPr="00F17604" w:rsidRDefault="00F17604" w:rsidP="00F17604">
            <w:pPr>
              <w:autoSpaceDE w:val="0"/>
              <w:autoSpaceDN w:val="0"/>
              <w:adjustRightInd w:val="0"/>
              <w:rPr>
                <w:rFonts w:ascii="Adobe Garamond Pro Bold" w:hAnsi="Adobe Garamond Pro Bold" w:cs="Adobe Garamond Pro Bold"/>
                <w:color w:val="000000"/>
              </w:rPr>
            </w:pPr>
          </w:p>
        </w:tc>
      </w:tr>
      <w:tr w:rsidR="00F17604" w:rsidRPr="00B261C9" w:rsidTr="00F17604">
        <w:trPr>
          <w:trHeight w:val="150"/>
          <w:jc w:val="center"/>
        </w:trPr>
        <w:tc>
          <w:tcPr>
            <w:tcW w:w="3359" w:type="dxa"/>
            <w:tcBorders>
              <w:top w:val="single" w:sz="4" w:space="0" w:color="auto"/>
              <w:left w:val="single" w:sz="4" w:space="0" w:color="auto"/>
              <w:bottom w:val="single" w:sz="4" w:space="0" w:color="auto"/>
              <w:right w:val="single" w:sz="4" w:space="0" w:color="auto"/>
            </w:tcBorders>
          </w:tcPr>
          <w:p w:rsidR="00F17604" w:rsidRDefault="00F17604" w:rsidP="001B27A6">
            <w:pPr>
              <w:tabs>
                <w:tab w:val="left" w:pos="1800"/>
              </w:tabs>
              <w:autoSpaceDE w:val="0"/>
              <w:autoSpaceDN w:val="0"/>
              <w:adjustRightInd w:val="0"/>
              <w:rPr>
                <w:rFonts w:ascii="Times New Roman" w:hAnsi="Times New Roman"/>
              </w:rPr>
            </w:pPr>
          </w:p>
        </w:tc>
        <w:tc>
          <w:tcPr>
            <w:tcW w:w="3202" w:type="dxa"/>
            <w:tcBorders>
              <w:top w:val="single" w:sz="4" w:space="0" w:color="auto"/>
              <w:left w:val="single" w:sz="4" w:space="0" w:color="auto"/>
              <w:bottom w:val="single" w:sz="4" w:space="0" w:color="auto"/>
              <w:right w:val="single" w:sz="4" w:space="0" w:color="auto"/>
            </w:tcBorders>
          </w:tcPr>
          <w:p w:rsidR="00F17604" w:rsidRPr="00F17604" w:rsidRDefault="00F17604" w:rsidP="00F17604">
            <w:pPr>
              <w:autoSpaceDE w:val="0"/>
              <w:autoSpaceDN w:val="0"/>
              <w:adjustRightInd w:val="0"/>
              <w:rPr>
                <w:rFonts w:ascii="Adobe Garamond Pro Bold" w:hAnsi="Adobe Garamond Pro Bold" w:cs="Adobe Garamond Pro Bold"/>
                <w:color w:val="000000"/>
              </w:rPr>
            </w:pPr>
          </w:p>
        </w:tc>
        <w:tc>
          <w:tcPr>
            <w:tcW w:w="3279" w:type="dxa"/>
            <w:tcBorders>
              <w:top w:val="single" w:sz="4" w:space="0" w:color="auto"/>
              <w:left w:val="single" w:sz="4" w:space="0" w:color="auto"/>
              <w:bottom w:val="single" w:sz="4" w:space="0" w:color="auto"/>
              <w:right w:val="single" w:sz="4" w:space="0" w:color="auto"/>
            </w:tcBorders>
          </w:tcPr>
          <w:p w:rsidR="00F17604" w:rsidRPr="00F17604" w:rsidRDefault="00F17604" w:rsidP="00F17604">
            <w:pPr>
              <w:autoSpaceDE w:val="0"/>
              <w:autoSpaceDN w:val="0"/>
              <w:adjustRightInd w:val="0"/>
              <w:rPr>
                <w:rFonts w:ascii="Adobe Garamond Pro Bold" w:hAnsi="Adobe Garamond Pro Bold" w:cs="Adobe Garamond Pro Bold"/>
                <w:color w:val="000000"/>
              </w:rPr>
            </w:pPr>
          </w:p>
        </w:tc>
      </w:tr>
    </w:tbl>
    <w:p w:rsidR="00E64816" w:rsidRPr="007C0232" w:rsidRDefault="00E64816" w:rsidP="00B261C9">
      <w:pPr>
        <w:tabs>
          <w:tab w:val="left" w:pos="1800"/>
        </w:tabs>
        <w:autoSpaceDE w:val="0"/>
        <w:autoSpaceDN w:val="0"/>
        <w:adjustRightInd w:val="0"/>
        <w:rPr>
          <w:rFonts w:ascii="Times New Roman" w:hAnsi="Times New Roman"/>
        </w:rPr>
      </w:pPr>
    </w:p>
    <w:sectPr w:rsidR="00E64816" w:rsidRPr="007C0232" w:rsidSect="00A54C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BBA" w:rsidRDefault="00241BBA">
      <w:r>
        <w:separator/>
      </w:r>
    </w:p>
  </w:endnote>
  <w:endnote w:type="continuationSeparator" w:id="0">
    <w:p w:rsidR="00241BBA" w:rsidRDefault="00241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obe Garamond Pro Bold">
    <w:altName w:val="Gar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BBA" w:rsidRDefault="00241BBA">
      <w:r>
        <w:separator/>
      </w:r>
    </w:p>
  </w:footnote>
  <w:footnote w:type="continuationSeparator" w:id="0">
    <w:p w:rsidR="00241BBA" w:rsidRDefault="00241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74A" w:rsidRPr="0094174A" w:rsidRDefault="009631FE" w:rsidP="0094174A">
    <w:pPr>
      <w:pStyle w:val="Header"/>
      <w:jc w:val="right"/>
      <w:rPr>
        <w:rFonts w:ascii="Arial" w:hAnsi="Arial" w:cs="Arial"/>
        <w:i/>
        <w:sz w:val="20"/>
        <w:szCs w:val="20"/>
      </w:rPr>
    </w:pPr>
    <w:r>
      <w:rPr>
        <w:rFonts w:ascii="Arial" w:hAnsi="Arial" w:cs="Arial"/>
        <w:i/>
        <w:sz w:val="20"/>
        <w:szCs w:val="20"/>
      </w:rPr>
      <w:t>Modern Real Estate Practice, 20th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7A0"/>
    <w:rsid w:val="0001414A"/>
    <w:rsid w:val="000632A6"/>
    <w:rsid w:val="00097E04"/>
    <w:rsid w:val="000D144B"/>
    <w:rsid w:val="000E4813"/>
    <w:rsid w:val="001159C0"/>
    <w:rsid w:val="00173F59"/>
    <w:rsid w:val="00193E6D"/>
    <w:rsid w:val="001B1E7E"/>
    <w:rsid w:val="001F4BA6"/>
    <w:rsid w:val="00241BBA"/>
    <w:rsid w:val="00295C5E"/>
    <w:rsid w:val="002B00B8"/>
    <w:rsid w:val="002C272D"/>
    <w:rsid w:val="002C69B3"/>
    <w:rsid w:val="002F1B98"/>
    <w:rsid w:val="002F6A90"/>
    <w:rsid w:val="003D4AB7"/>
    <w:rsid w:val="003F134C"/>
    <w:rsid w:val="00400649"/>
    <w:rsid w:val="00414AE1"/>
    <w:rsid w:val="0044429C"/>
    <w:rsid w:val="004A05EC"/>
    <w:rsid w:val="004F1FBD"/>
    <w:rsid w:val="00562298"/>
    <w:rsid w:val="005B5AB5"/>
    <w:rsid w:val="006217A0"/>
    <w:rsid w:val="00637FDD"/>
    <w:rsid w:val="0068025B"/>
    <w:rsid w:val="00705BF4"/>
    <w:rsid w:val="007214B0"/>
    <w:rsid w:val="007C0232"/>
    <w:rsid w:val="00927FB5"/>
    <w:rsid w:val="0094174A"/>
    <w:rsid w:val="009631FE"/>
    <w:rsid w:val="0099521C"/>
    <w:rsid w:val="009F5663"/>
    <w:rsid w:val="00A54C6C"/>
    <w:rsid w:val="00A5504D"/>
    <w:rsid w:val="00AA78F1"/>
    <w:rsid w:val="00AB5671"/>
    <w:rsid w:val="00AD6786"/>
    <w:rsid w:val="00AF33C8"/>
    <w:rsid w:val="00B261C9"/>
    <w:rsid w:val="00B4617B"/>
    <w:rsid w:val="00B87D3E"/>
    <w:rsid w:val="00D00B2E"/>
    <w:rsid w:val="00D15438"/>
    <w:rsid w:val="00D70BAC"/>
    <w:rsid w:val="00D815DC"/>
    <w:rsid w:val="00DE2E72"/>
    <w:rsid w:val="00E04CE3"/>
    <w:rsid w:val="00E43E8B"/>
    <w:rsid w:val="00E64816"/>
    <w:rsid w:val="00E76CEE"/>
    <w:rsid w:val="00E9614D"/>
    <w:rsid w:val="00EF5DF7"/>
    <w:rsid w:val="00F000E2"/>
    <w:rsid w:val="00F17604"/>
    <w:rsid w:val="00F7081F"/>
    <w:rsid w:val="00F91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481836"/>
  <w15:docId w15:val="{A6DD2464-0F8C-47D3-83DD-F3ED02E82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character" w:customStyle="1" w:styleId="A26">
    <w:name w:val="A2+6"/>
    <w:uiPriority w:val="99"/>
    <w:rsid w:val="009F5663"/>
    <w:rPr>
      <w:rFonts w:ascii="Adobe Garamond Pro" w:hAnsi="Adobe Garamond Pro" w:cs="Adobe Garamond Pro"/>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960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Jody Manderfeld</cp:lastModifiedBy>
  <cp:revision>8</cp:revision>
  <cp:lastPrinted>2006-08-18T16:15:00Z</cp:lastPrinted>
  <dcterms:created xsi:type="dcterms:W3CDTF">2019-07-26T19:24:00Z</dcterms:created>
  <dcterms:modified xsi:type="dcterms:W3CDTF">2022-02-10T16:25:00Z</dcterms:modified>
</cp:coreProperties>
</file>