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16A13">
        <w:rPr>
          <w:rFonts w:ascii="Times New Roman" w:hAnsi="Times New Roman"/>
          <w:i/>
        </w:rPr>
        <w:t>California Real Estate Law 10</w:t>
      </w:r>
      <w:r w:rsidR="00E16A13" w:rsidRPr="00E16A13">
        <w:rPr>
          <w:rFonts w:ascii="Times New Roman" w:hAnsi="Times New Roman"/>
          <w:i/>
          <w:vertAlign w:val="superscript"/>
        </w:rPr>
        <w:t>th</w:t>
      </w:r>
      <w:r w:rsidR="00E16A13">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7250F6" w:rsidRDefault="007250F6" w:rsidP="00173F59">
      <w:pPr>
        <w:tabs>
          <w:tab w:val="left" w:pos="1800"/>
        </w:tabs>
        <w:autoSpaceDE w:val="0"/>
        <w:autoSpaceDN w:val="0"/>
        <w:adjustRightInd w:val="0"/>
        <w:rPr>
          <w:rFonts w:ascii="Times New Roman" w:hAnsi="Times New Roman"/>
          <w:b/>
        </w:rPr>
      </w:pPr>
    </w:p>
    <w:p w:rsidR="00B261C9" w:rsidRPr="007C0232" w:rsidRDefault="007250F6" w:rsidP="00173F59">
      <w:pPr>
        <w:tabs>
          <w:tab w:val="left" w:pos="1800"/>
        </w:tabs>
        <w:autoSpaceDE w:val="0"/>
        <w:autoSpaceDN w:val="0"/>
        <w:adjustRightInd w:val="0"/>
        <w:rPr>
          <w:rFonts w:ascii="Times New Roman" w:hAnsi="Times New Roman"/>
          <w:b/>
        </w:rPr>
      </w:pPr>
      <w:r>
        <w:rPr>
          <w:rFonts w:ascii="Times New Roman" w:hAnsi="Times New Roman"/>
          <w:b/>
        </w:rPr>
        <w:t>Second printing, first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4320"/>
        <w:gridCol w:w="3735"/>
      </w:tblGrid>
      <w:tr w:rsidR="00B261C9" w:rsidRPr="00B261C9" w:rsidTr="00E16A13">
        <w:trPr>
          <w:trHeight w:val="144"/>
          <w:jc w:val="center"/>
        </w:trPr>
        <w:tc>
          <w:tcPr>
            <w:tcW w:w="1935"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4320" w:type="dxa"/>
            <w:shd w:val="clear" w:color="auto" w:fill="CCFFCC"/>
          </w:tcPr>
          <w:p w:rsidR="00B261C9" w:rsidRPr="00E16A13" w:rsidRDefault="004F1FBD" w:rsidP="00B261C9">
            <w:pPr>
              <w:tabs>
                <w:tab w:val="left" w:pos="1800"/>
              </w:tabs>
              <w:autoSpaceDE w:val="0"/>
              <w:autoSpaceDN w:val="0"/>
              <w:adjustRightInd w:val="0"/>
              <w:jc w:val="center"/>
              <w:rPr>
                <w:rFonts w:ascii="Times New Roman" w:hAnsi="Times New Roman"/>
                <w:b/>
              </w:rPr>
            </w:pPr>
            <w:r w:rsidRPr="00E16A13">
              <w:rPr>
                <w:rFonts w:ascii="Times New Roman" w:hAnsi="Times New Roman"/>
                <w:b/>
              </w:rPr>
              <w:t>Reads Now</w:t>
            </w:r>
          </w:p>
        </w:tc>
        <w:tc>
          <w:tcPr>
            <w:tcW w:w="3735"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16A13" w:rsidRPr="00B261C9" w:rsidTr="00E16A13">
        <w:trPr>
          <w:trHeight w:val="150"/>
          <w:jc w:val="center"/>
        </w:trPr>
        <w:tc>
          <w:tcPr>
            <w:tcW w:w="1935" w:type="dxa"/>
          </w:tcPr>
          <w:p w:rsidR="00E16A13" w:rsidRDefault="00E16A13" w:rsidP="00B261C9">
            <w:pPr>
              <w:tabs>
                <w:tab w:val="left" w:pos="1800"/>
              </w:tabs>
              <w:autoSpaceDE w:val="0"/>
              <w:autoSpaceDN w:val="0"/>
              <w:adjustRightInd w:val="0"/>
              <w:rPr>
                <w:rFonts w:ascii="Times New Roman" w:hAnsi="Times New Roman"/>
              </w:rPr>
            </w:pPr>
            <w:r>
              <w:rPr>
                <w:rFonts w:ascii="Times New Roman" w:hAnsi="Times New Roman"/>
              </w:rPr>
              <w:t>73, Death on the Premises</w:t>
            </w:r>
          </w:p>
        </w:tc>
        <w:tc>
          <w:tcPr>
            <w:tcW w:w="4320" w:type="dxa"/>
          </w:tcPr>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t>California law formerly provided that an agent had no duty to disclose death on the premises after three years. In 2016, the law was amended to provide there is no cause of action for the failure to disclose death on the premises or cause of death with no</w:t>
            </w:r>
            <w:r>
              <w:rPr>
                <w:rFonts w:ascii="Times New Roman" w:hAnsi="Times New Roman"/>
                <w:color w:val="222222"/>
              </w:rPr>
              <w:t xml:space="preserve"> time limita</w:t>
            </w:r>
            <w:r w:rsidRPr="00E16A13">
              <w:rPr>
                <w:rFonts w:ascii="Times New Roman" w:hAnsi="Times New Roman"/>
                <w:color w:val="222222"/>
              </w:rPr>
              <w:t>t</w:t>
            </w:r>
            <w:r>
              <w:rPr>
                <w:rFonts w:ascii="Times New Roman" w:hAnsi="Times New Roman"/>
                <w:color w:val="222222"/>
              </w:rPr>
              <w:t>i</w:t>
            </w:r>
            <w:r w:rsidRPr="00E16A13">
              <w:rPr>
                <w:rFonts w:ascii="Times New Roman" w:hAnsi="Times New Roman"/>
                <w:color w:val="222222"/>
              </w:rPr>
              <w:t>ons as death is not considered to be a mate</w:t>
            </w:r>
            <w:r>
              <w:rPr>
                <w:rFonts w:ascii="Times New Roman" w:hAnsi="Times New Roman"/>
                <w:color w:val="222222"/>
              </w:rPr>
              <w:t>rial fact requiring disclosure.</w:t>
            </w:r>
          </w:p>
          <w:p w:rsidR="00E16A13" w:rsidRPr="00E16A13" w:rsidRDefault="00E16A13" w:rsidP="00E16A13">
            <w:pPr>
              <w:shd w:val="clear" w:color="auto" w:fill="FFFFFF"/>
              <w:rPr>
                <w:rFonts w:ascii="Times New Roman" w:hAnsi="Times New Roman"/>
                <w:color w:val="222222"/>
              </w:rPr>
            </w:pPr>
          </w:p>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t>If a buyer inquired as to any deaths on the property or cause of death, the agent would have to answer truthfully as to any information the agent had. A fake statement could subject an agent to liability even though the agent had no du</w:t>
            </w:r>
            <w:r>
              <w:rPr>
                <w:rFonts w:ascii="Times New Roman" w:hAnsi="Times New Roman"/>
                <w:color w:val="222222"/>
              </w:rPr>
              <w:t>ty to disclose the information.</w:t>
            </w:r>
          </w:p>
          <w:p w:rsidR="00E16A13" w:rsidRPr="00E16A13" w:rsidRDefault="00E16A13" w:rsidP="00E16A13">
            <w:pPr>
              <w:shd w:val="clear" w:color="auto" w:fill="FFFFFF"/>
              <w:rPr>
                <w:rFonts w:ascii="Times New Roman" w:hAnsi="Times New Roman"/>
                <w:color w:val="222222"/>
              </w:rPr>
            </w:pPr>
          </w:p>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lastRenderedPageBreak/>
              <w:t>Because a buyer's agent has greater disclosure obligations to a buyer, a court might determine that deaths or assaults on the premises, that could reasonably be expected to influence</w:t>
            </w:r>
            <w:r>
              <w:rPr>
                <w:rFonts w:ascii="Times New Roman" w:hAnsi="Times New Roman"/>
                <w:color w:val="222222"/>
              </w:rPr>
              <w:t xml:space="preserve"> a purchase, must be disclosed.</w:t>
            </w:r>
          </w:p>
          <w:p w:rsidR="00E16A13" w:rsidRPr="00E16A13" w:rsidRDefault="00E16A13" w:rsidP="00B20D6C">
            <w:pPr>
              <w:rPr>
                <w:rFonts w:ascii="Times New Roman" w:hAnsi="Times New Roman"/>
              </w:rPr>
            </w:pPr>
          </w:p>
        </w:tc>
        <w:tc>
          <w:tcPr>
            <w:tcW w:w="3735" w:type="dxa"/>
          </w:tcPr>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lastRenderedPageBreak/>
              <w:t>"An owner of real property, their agent, or an agent of a buyer or tenant, is not required to disclose either of the following:</w:t>
            </w:r>
          </w:p>
          <w:p w:rsidR="00E16A13" w:rsidRPr="00E16A13" w:rsidRDefault="00E16A13" w:rsidP="00E16A13">
            <w:pPr>
              <w:shd w:val="clear" w:color="auto" w:fill="FFFFFF"/>
              <w:rPr>
                <w:rFonts w:ascii="Times New Roman" w:hAnsi="Times New Roman"/>
                <w:color w:val="222222"/>
              </w:rPr>
            </w:pPr>
            <w:r>
              <w:rPr>
                <w:rFonts w:ascii="Times New Roman" w:hAnsi="Times New Roman"/>
                <w:color w:val="222222"/>
              </w:rPr>
              <w:t>1) A death upon the property,</w:t>
            </w:r>
            <w:r w:rsidRPr="00E16A13">
              <w:rPr>
                <w:rFonts w:ascii="Times New Roman" w:hAnsi="Times New Roman"/>
                <w:color w:val="222222"/>
              </w:rPr>
              <w:t xml:space="preserve"> or the manner of death, where the death occurred more than three years prior to the date a person offers to purchase, lease, or rent the property.</w:t>
            </w:r>
          </w:p>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222222"/>
              </w:rPr>
              <w:t>2) An occupant of the property was</w:t>
            </w:r>
            <w:r>
              <w:rPr>
                <w:rFonts w:ascii="Times New Roman" w:hAnsi="Times New Roman"/>
                <w:color w:val="222222"/>
              </w:rPr>
              <w:t xml:space="preserve"> living with HIV or died from A</w:t>
            </w:r>
            <w:r w:rsidRPr="00E16A13">
              <w:rPr>
                <w:rFonts w:ascii="Times New Roman" w:hAnsi="Times New Roman"/>
                <w:color w:val="222222"/>
              </w:rPr>
              <w:t>IDS-related complications.</w:t>
            </w:r>
          </w:p>
          <w:p w:rsidR="00E16A13" w:rsidRPr="00E16A13" w:rsidRDefault="00E16A13" w:rsidP="00E16A13">
            <w:pPr>
              <w:shd w:val="clear" w:color="auto" w:fill="FFFFFF"/>
              <w:rPr>
                <w:rFonts w:ascii="Times New Roman" w:hAnsi="Times New Roman"/>
                <w:color w:val="222222"/>
              </w:rPr>
            </w:pPr>
            <w:r w:rsidRPr="00E16A13">
              <w:rPr>
                <w:rFonts w:ascii="Times New Roman" w:hAnsi="Times New Roman"/>
                <w:color w:val="333333"/>
              </w:rPr>
              <w:t xml:space="preserve">3) This law does not immunize an owner or his or her agent from making an intentional misrepresentation in response to a direct inquiry from a transferee or a prospective transferee of real </w:t>
            </w:r>
            <w:r w:rsidRPr="00E16A13">
              <w:rPr>
                <w:rFonts w:ascii="Times New Roman" w:hAnsi="Times New Roman"/>
                <w:color w:val="333333"/>
              </w:rPr>
              <w:lastRenderedPageBreak/>
              <w:t>property, concerning deaths on real property.</w:t>
            </w:r>
          </w:p>
          <w:p w:rsidR="00E16A13" w:rsidRPr="00E16A13" w:rsidRDefault="00E16A13" w:rsidP="00B20D6C">
            <w:pPr>
              <w:tabs>
                <w:tab w:val="left" w:pos="1800"/>
              </w:tabs>
              <w:autoSpaceDE w:val="0"/>
              <w:autoSpaceDN w:val="0"/>
              <w:adjustRightInd w:val="0"/>
              <w:rPr>
                <w:rFonts w:ascii="Times New Roman" w:hAnsi="Times New Roman"/>
              </w:rPr>
            </w:pPr>
          </w:p>
        </w:tc>
      </w:tr>
      <w:tr w:rsidR="00B261C9" w:rsidRPr="00B261C9" w:rsidTr="00E16A13">
        <w:trPr>
          <w:trHeight w:val="150"/>
          <w:jc w:val="center"/>
        </w:trPr>
        <w:tc>
          <w:tcPr>
            <w:tcW w:w="1935" w:type="dxa"/>
          </w:tcPr>
          <w:p w:rsidR="00B261C9" w:rsidRPr="00AF33C8" w:rsidRDefault="007250F6" w:rsidP="00B261C9">
            <w:pPr>
              <w:tabs>
                <w:tab w:val="left" w:pos="1800"/>
              </w:tabs>
              <w:autoSpaceDE w:val="0"/>
              <w:autoSpaceDN w:val="0"/>
              <w:adjustRightInd w:val="0"/>
              <w:rPr>
                <w:rFonts w:ascii="Times New Roman" w:hAnsi="Times New Roman"/>
              </w:rPr>
            </w:pPr>
            <w:r>
              <w:rPr>
                <w:rFonts w:ascii="Times New Roman" w:hAnsi="Times New Roman"/>
              </w:rPr>
              <w:lastRenderedPageBreak/>
              <w:t>553, unit 12, item 10</w:t>
            </w:r>
          </w:p>
        </w:tc>
        <w:tc>
          <w:tcPr>
            <w:tcW w:w="4320" w:type="dxa"/>
          </w:tcPr>
          <w:p w:rsidR="00B261C9" w:rsidRPr="00AF33C8" w:rsidRDefault="007250F6" w:rsidP="00B20D6C">
            <w:pPr>
              <w:rPr>
                <w:rFonts w:ascii="Times New Roman" w:hAnsi="Times New Roman"/>
              </w:rPr>
            </w:pPr>
            <w:r>
              <w:rPr>
                <w:rFonts w:ascii="Times New Roman" w:hAnsi="Times New Roman"/>
              </w:rPr>
              <w:t>(d) Correlative user refers to underground water. p. 393</w:t>
            </w:r>
          </w:p>
        </w:tc>
        <w:tc>
          <w:tcPr>
            <w:tcW w:w="3735" w:type="dxa"/>
          </w:tcPr>
          <w:p w:rsidR="00B261C9" w:rsidRPr="00AF33C8" w:rsidRDefault="007250F6" w:rsidP="00B20D6C">
            <w:pPr>
              <w:tabs>
                <w:tab w:val="left" w:pos="1800"/>
              </w:tabs>
              <w:autoSpaceDE w:val="0"/>
              <w:autoSpaceDN w:val="0"/>
              <w:adjustRightInd w:val="0"/>
              <w:rPr>
                <w:rFonts w:ascii="Times New Roman" w:hAnsi="Times New Roman"/>
              </w:rPr>
            </w:pPr>
            <w:r>
              <w:rPr>
                <w:rFonts w:ascii="Times New Roman" w:hAnsi="Times New Roman"/>
              </w:rPr>
              <w:t xml:space="preserve">(d) </w:t>
            </w:r>
            <w:r w:rsidRPr="007250F6">
              <w:rPr>
                <w:rFonts w:ascii="Times New Roman" w:hAnsi="Times New Roman"/>
              </w:rPr>
              <w:t>A dominant tenement is an easement that "dominates" another parcel of land by receiving the benefit of the easement.</w:t>
            </w:r>
            <w:r>
              <w:rPr>
                <w:rFonts w:ascii="Times New Roman" w:hAnsi="Times New Roman"/>
              </w:rPr>
              <w:t xml:space="preserve"> p. 393</w:t>
            </w:r>
          </w:p>
        </w:tc>
      </w:tr>
      <w:tr w:rsidR="00B20D6C" w:rsidRPr="00B261C9" w:rsidTr="00E16A13">
        <w:trPr>
          <w:trHeight w:val="150"/>
          <w:jc w:val="center"/>
        </w:trPr>
        <w:tc>
          <w:tcPr>
            <w:tcW w:w="1935" w:type="dxa"/>
          </w:tcPr>
          <w:p w:rsidR="00B20D6C" w:rsidRPr="00B20D6C" w:rsidRDefault="00B20D6C" w:rsidP="00B261C9">
            <w:pPr>
              <w:tabs>
                <w:tab w:val="left" w:pos="1800"/>
              </w:tabs>
              <w:autoSpaceDE w:val="0"/>
              <w:autoSpaceDN w:val="0"/>
              <w:adjustRightInd w:val="0"/>
              <w:rPr>
                <w:rFonts w:ascii="Times New Roman" w:hAnsi="Times New Roman"/>
              </w:rPr>
            </w:pPr>
          </w:p>
        </w:tc>
        <w:tc>
          <w:tcPr>
            <w:tcW w:w="432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735"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371D85" w:rsidRDefault="00371D85" w:rsidP="00371D85">
      <w:pPr>
        <w:tabs>
          <w:tab w:val="left" w:pos="1800"/>
        </w:tabs>
        <w:autoSpaceDE w:val="0"/>
        <w:autoSpaceDN w:val="0"/>
        <w:adjustRightInd w:val="0"/>
        <w:rPr>
          <w:rFonts w:ascii="Times New Roman" w:hAnsi="Times New Roman"/>
          <w:b/>
        </w:rPr>
      </w:pPr>
    </w:p>
    <w:p w:rsidR="00371D85" w:rsidRPr="007C0232" w:rsidRDefault="00371D85" w:rsidP="00371D85">
      <w:pPr>
        <w:tabs>
          <w:tab w:val="left" w:pos="1800"/>
        </w:tabs>
        <w:autoSpaceDE w:val="0"/>
        <w:autoSpaceDN w:val="0"/>
        <w:adjustRightInd w:val="0"/>
        <w:rPr>
          <w:rFonts w:ascii="Times New Roman" w:hAnsi="Times New Roman"/>
          <w:b/>
        </w:rPr>
      </w:pPr>
      <w:r>
        <w:rPr>
          <w:rFonts w:ascii="Times New Roman" w:hAnsi="Times New Roman"/>
          <w:b/>
        </w:rPr>
        <w:t>Third printing, 2</w:t>
      </w:r>
      <w:r w:rsidRPr="00371D85">
        <w:rPr>
          <w:rFonts w:ascii="Times New Roman" w:hAnsi="Times New Roman"/>
          <w:b/>
          <w:vertAlign w:val="superscript"/>
        </w:rPr>
        <w:t>nd</w:t>
      </w:r>
      <w:r>
        <w:rPr>
          <w:rFonts w:ascii="Times New Roman" w:hAnsi="Times New Roman"/>
          <w:b/>
        </w:rPr>
        <w:t xml:space="preserve">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4320"/>
        <w:gridCol w:w="3735"/>
      </w:tblGrid>
      <w:tr w:rsidR="00371D85" w:rsidRPr="00B261C9" w:rsidTr="009A0DBB">
        <w:trPr>
          <w:trHeight w:val="144"/>
          <w:jc w:val="center"/>
        </w:trPr>
        <w:tc>
          <w:tcPr>
            <w:tcW w:w="1935" w:type="dxa"/>
            <w:shd w:val="clear" w:color="auto" w:fill="CCFFCC"/>
          </w:tcPr>
          <w:p w:rsidR="00371D85" w:rsidRPr="00B261C9" w:rsidRDefault="00371D85" w:rsidP="009A0DBB">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4320" w:type="dxa"/>
            <w:shd w:val="clear" w:color="auto" w:fill="CCFFCC"/>
          </w:tcPr>
          <w:p w:rsidR="00371D85" w:rsidRPr="00E16A13" w:rsidRDefault="00371D85" w:rsidP="009A0DBB">
            <w:pPr>
              <w:tabs>
                <w:tab w:val="left" w:pos="1800"/>
              </w:tabs>
              <w:autoSpaceDE w:val="0"/>
              <w:autoSpaceDN w:val="0"/>
              <w:adjustRightInd w:val="0"/>
              <w:jc w:val="center"/>
              <w:rPr>
                <w:rFonts w:ascii="Times New Roman" w:hAnsi="Times New Roman"/>
                <w:b/>
              </w:rPr>
            </w:pPr>
            <w:r w:rsidRPr="00E16A13">
              <w:rPr>
                <w:rFonts w:ascii="Times New Roman" w:hAnsi="Times New Roman"/>
                <w:b/>
              </w:rPr>
              <w:t>Reads Now</w:t>
            </w:r>
          </w:p>
        </w:tc>
        <w:tc>
          <w:tcPr>
            <w:tcW w:w="3735" w:type="dxa"/>
            <w:shd w:val="clear" w:color="auto" w:fill="CCFFCC"/>
          </w:tcPr>
          <w:p w:rsidR="00371D85" w:rsidRPr="00B261C9" w:rsidRDefault="00371D85" w:rsidP="009A0DBB">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371D85" w:rsidRPr="00B261C9" w:rsidTr="009A0DBB">
        <w:trPr>
          <w:trHeight w:val="150"/>
          <w:jc w:val="center"/>
        </w:trPr>
        <w:tc>
          <w:tcPr>
            <w:tcW w:w="1935" w:type="dxa"/>
          </w:tcPr>
          <w:p w:rsidR="00371D85" w:rsidRDefault="0076072C" w:rsidP="009A0DBB">
            <w:pPr>
              <w:tabs>
                <w:tab w:val="left" w:pos="1800"/>
              </w:tabs>
              <w:autoSpaceDE w:val="0"/>
              <w:autoSpaceDN w:val="0"/>
              <w:adjustRightInd w:val="0"/>
              <w:rPr>
                <w:rFonts w:ascii="Times New Roman" w:hAnsi="Times New Roman"/>
              </w:rPr>
            </w:pPr>
            <w:r>
              <w:rPr>
                <w:rFonts w:ascii="Times New Roman" w:hAnsi="Times New Roman"/>
              </w:rPr>
              <w:t>550, Unit 4, items 9</w:t>
            </w:r>
          </w:p>
        </w:tc>
        <w:tc>
          <w:tcPr>
            <w:tcW w:w="4320" w:type="dxa"/>
          </w:tcPr>
          <w:p w:rsidR="00371D85" w:rsidRPr="00E16A13" w:rsidRDefault="0076072C" w:rsidP="009A0DBB">
            <w:pPr>
              <w:rPr>
                <w:rFonts w:ascii="Times New Roman" w:hAnsi="Times New Roman"/>
              </w:rPr>
            </w:pPr>
            <w:r>
              <w:rPr>
                <w:rFonts w:ascii="Times New Roman" w:hAnsi="Times New Roman"/>
              </w:rPr>
              <w:t>9. (d) There is a limit as to what the recovery fund will pay. p. 103</w:t>
            </w:r>
          </w:p>
        </w:tc>
        <w:tc>
          <w:tcPr>
            <w:tcW w:w="3735" w:type="dxa"/>
          </w:tcPr>
          <w:p w:rsidR="00371D85" w:rsidRPr="00E16A13" w:rsidRDefault="0076072C" w:rsidP="009A0DBB">
            <w:pPr>
              <w:tabs>
                <w:tab w:val="left" w:pos="1800"/>
              </w:tabs>
              <w:autoSpaceDE w:val="0"/>
              <w:autoSpaceDN w:val="0"/>
              <w:adjustRightInd w:val="0"/>
              <w:rPr>
                <w:rFonts w:ascii="Times New Roman" w:hAnsi="Times New Roman"/>
              </w:rPr>
            </w:pPr>
            <w:r>
              <w:rPr>
                <w:rFonts w:ascii="Times New Roman" w:hAnsi="Times New Roman"/>
              </w:rPr>
              <w:t>9. (d) There is a limit as to what the recovery fund will pay. p. 10</w:t>
            </w:r>
            <w:r>
              <w:rPr>
                <w:rFonts w:ascii="Times New Roman" w:hAnsi="Times New Roman"/>
              </w:rPr>
              <w:t>4</w:t>
            </w:r>
          </w:p>
        </w:tc>
      </w:tr>
      <w:tr w:rsidR="00371D85" w:rsidRPr="00B261C9" w:rsidTr="009A0DBB">
        <w:trPr>
          <w:trHeight w:val="150"/>
          <w:jc w:val="center"/>
        </w:trPr>
        <w:tc>
          <w:tcPr>
            <w:tcW w:w="1935" w:type="dxa"/>
          </w:tcPr>
          <w:p w:rsidR="00371D85" w:rsidRPr="00AF33C8" w:rsidRDefault="0076072C" w:rsidP="009A0DBB">
            <w:pPr>
              <w:tabs>
                <w:tab w:val="left" w:pos="1800"/>
              </w:tabs>
              <w:autoSpaceDE w:val="0"/>
              <w:autoSpaceDN w:val="0"/>
              <w:adjustRightInd w:val="0"/>
              <w:rPr>
                <w:rFonts w:ascii="Times New Roman" w:hAnsi="Times New Roman"/>
              </w:rPr>
            </w:pPr>
            <w:r>
              <w:rPr>
                <w:rFonts w:ascii="Times New Roman" w:hAnsi="Times New Roman"/>
              </w:rPr>
              <w:t>551, Unit 5, items 14</w:t>
            </w:r>
          </w:p>
        </w:tc>
        <w:tc>
          <w:tcPr>
            <w:tcW w:w="4320" w:type="dxa"/>
          </w:tcPr>
          <w:p w:rsidR="00371D85" w:rsidRPr="00AF33C8" w:rsidRDefault="0076072C" w:rsidP="009A0DBB">
            <w:pPr>
              <w:rPr>
                <w:rFonts w:ascii="Times New Roman" w:hAnsi="Times New Roman"/>
              </w:rPr>
            </w:pPr>
            <w:r>
              <w:rPr>
                <w:rFonts w:ascii="Times New Roman" w:hAnsi="Times New Roman"/>
              </w:rPr>
              <w:t>14. (c) p. 161</w:t>
            </w:r>
          </w:p>
        </w:tc>
        <w:tc>
          <w:tcPr>
            <w:tcW w:w="3735" w:type="dxa"/>
          </w:tcPr>
          <w:p w:rsidR="00371D85" w:rsidRPr="00AF33C8" w:rsidRDefault="0076072C" w:rsidP="009A0DBB">
            <w:pPr>
              <w:tabs>
                <w:tab w:val="left" w:pos="1800"/>
              </w:tabs>
              <w:autoSpaceDE w:val="0"/>
              <w:autoSpaceDN w:val="0"/>
              <w:adjustRightInd w:val="0"/>
              <w:rPr>
                <w:rFonts w:ascii="Times New Roman" w:hAnsi="Times New Roman"/>
              </w:rPr>
            </w:pPr>
            <w:r>
              <w:rPr>
                <w:rFonts w:ascii="Times New Roman" w:hAnsi="Times New Roman"/>
              </w:rPr>
              <w:t>14. (c) p. 16</w:t>
            </w:r>
            <w:r>
              <w:rPr>
                <w:rFonts w:ascii="Times New Roman" w:hAnsi="Times New Roman"/>
              </w:rPr>
              <w:t>0</w:t>
            </w:r>
            <w:bookmarkStart w:id="0" w:name="_GoBack"/>
            <w:bookmarkEnd w:id="0"/>
          </w:p>
        </w:tc>
      </w:tr>
      <w:tr w:rsidR="00371D85" w:rsidRPr="00B261C9" w:rsidTr="009A0DBB">
        <w:trPr>
          <w:trHeight w:val="150"/>
          <w:jc w:val="center"/>
        </w:trPr>
        <w:tc>
          <w:tcPr>
            <w:tcW w:w="1935" w:type="dxa"/>
          </w:tcPr>
          <w:p w:rsidR="00371D85" w:rsidRPr="00B20D6C" w:rsidRDefault="00371D85" w:rsidP="009A0DBB">
            <w:pPr>
              <w:tabs>
                <w:tab w:val="left" w:pos="1800"/>
              </w:tabs>
              <w:autoSpaceDE w:val="0"/>
              <w:autoSpaceDN w:val="0"/>
              <w:adjustRightInd w:val="0"/>
              <w:rPr>
                <w:rFonts w:ascii="Times New Roman" w:hAnsi="Times New Roman"/>
              </w:rPr>
            </w:pPr>
          </w:p>
        </w:tc>
        <w:tc>
          <w:tcPr>
            <w:tcW w:w="4320" w:type="dxa"/>
          </w:tcPr>
          <w:p w:rsidR="00371D85" w:rsidRPr="00B20D6C" w:rsidRDefault="00371D85" w:rsidP="009A0DBB">
            <w:pPr>
              <w:tabs>
                <w:tab w:val="left" w:pos="1800"/>
              </w:tabs>
              <w:autoSpaceDE w:val="0"/>
              <w:autoSpaceDN w:val="0"/>
              <w:adjustRightInd w:val="0"/>
              <w:rPr>
                <w:rFonts w:ascii="Times New Roman" w:hAnsi="Times New Roman"/>
              </w:rPr>
            </w:pPr>
          </w:p>
        </w:tc>
        <w:tc>
          <w:tcPr>
            <w:tcW w:w="3735" w:type="dxa"/>
          </w:tcPr>
          <w:p w:rsidR="00371D85" w:rsidRPr="00B20D6C" w:rsidRDefault="00371D85" w:rsidP="009A0DBB">
            <w:pPr>
              <w:tabs>
                <w:tab w:val="left" w:pos="1800"/>
              </w:tabs>
              <w:autoSpaceDE w:val="0"/>
              <w:autoSpaceDN w:val="0"/>
              <w:adjustRightInd w:val="0"/>
              <w:rPr>
                <w:rFonts w:ascii="Times New Roman" w:hAnsi="Times New Roman"/>
              </w:rPr>
            </w:pPr>
          </w:p>
        </w:tc>
      </w:tr>
    </w:tbl>
    <w:p w:rsidR="00371D85" w:rsidRPr="007C0232" w:rsidRDefault="00371D85" w:rsidP="00371D85">
      <w:pPr>
        <w:tabs>
          <w:tab w:val="left" w:pos="1800"/>
        </w:tabs>
        <w:autoSpaceDE w:val="0"/>
        <w:autoSpaceDN w:val="0"/>
        <w:adjustRightInd w:val="0"/>
        <w:rPr>
          <w:rFonts w:ascii="Times New Roman" w:hAnsi="Times New Roman"/>
        </w:rPr>
      </w:pPr>
    </w:p>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E16A13" w:rsidP="0094174A">
    <w:pPr>
      <w:pStyle w:val="Header"/>
      <w:jc w:val="right"/>
      <w:rPr>
        <w:rFonts w:ascii="Arial" w:hAnsi="Arial" w:cs="Arial"/>
        <w:i/>
        <w:sz w:val="20"/>
        <w:szCs w:val="20"/>
      </w:rPr>
    </w:pPr>
    <w:r>
      <w:rPr>
        <w:rFonts w:ascii="Arial" w:hAnsi="Arial" w:cs="Arial"/>
        <w:i/>
        <w:sz w:val="20"/>
        <w:szCs w:val="20"/>
      </w:rPr>
      <w:t>California Real Estate Law 10</w:t>
    </w:r>
    <w:r w:rsidRPr="00E16A13">
      <w:rPr>
        <w:rFonts w:ascii="Arial" w:hAnsi="Arial" w:cs="Arial"/>
        <w:i/>
        <w:sz w:val="20"/>
        <w:szCs w:val="20"/>
        <w:vertAlign w:val="superscript"/>
      </w:rPr>
      <w:t>th</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B00B8"/>
    <w:rsid w:val="002B6B68"/>
    <w:rsid w:val="00356FB2"/>
    <w:rsid w:val="00371D85"/>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250F6"/>
    <w:rsid w:val="0076072C"/>
    <w:rsid w:val="007C0232"/>
    <w:rsid w:val="00927FB5"/>
    <w:rsid w:val="0094174A"/>
    <w:rsid w:val="0099521C"/>
    <w:rsid w:val="00A410F8"/>
    <w:rsid w:val="00A54C6C"/>
    <w:rsid w:val="00AB5671"/>
    <w:rsid w:val="00AD6786"/>
    <w:rsid w:val="00AF33C8"/>
    <w:rsid w:val="00B20D6C"/>
    <w:rsid w:val="00B261C9"/>
    <w:rsid w:val="00B4617B"/>
    <w:rsid w:val="00BF3FA6"/>
    <w:rsid w:val="00D00B2E"/>
    <w:rsid w:val="00D15438"/>
    <w:rsid w:val="00D70BAC"/>
    <w:rsid w:val="00D815DC"/>
    <w:rsid w:val="00DE2E72"/>
    <w:rsid w:val="00E04CE3"/>
    <w:rsid w:val="00E16A1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F988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15890">
      <w:bodyDiv w:val="1"/>
      <w:marLeft w:val="0"/>
      <w:marRight w:val="0"/>
      <w:marTop w:val="0"/>
      <w:marBottom w:val="0"/>
      <w:divBdr>
        <w:top w:val="none" w:sz="0" w:space="0" w:color="auto"/>
        <w:left w:val="none" w:sz="0" w:space="0" w:color="auto"/>
        <w:bottom w:val="none" w:sz="0" w:space="0" w:color="auto"/>
        <w:right w:val="none" w:sz="0" w:space="0" w:color="auto"/>
      </w:divBdr>
      <w:divsChild>
        <w:div w:id="583607700">
          <w:marLeft w:val="0"/>
          <w:marRight w:val="0"/>
          <w:marTop w:val="0"/>
          <w:marBottom w:val="0"/>
          <w:divBdr>
            <w:top w:val="none" w:sz="0" w:space="0" w:color="auto"/>
            <w:left w:val="none" w:sz="0" w:space="0" w:color="auto"/>
            <w:bottom w:val="none" w:sz="0" w:space="0" w:color="auto"/>
            <w:right w:val="none" w:sz="0" w:space="0" w:color="auto"/>
          </w:divBdr>
        </w:div>
        <w:div w:id="554582541">
          <w:marLeft w:val="0"/>
          <w:marRight w:val="0"/>
          <w:marTop w:val="0"/>
          <w:marBottom w:val="0"/>
          <w:divBdr>
            <w:top w:val="none" w:sz="0" w:space="0" w:color="auto"/>
            <w:left w:val="none" w:sz="0" w:space="0" w:color="auto"/>
            <w:bottom w:val="none" w:sz="0" w:space="0" w:color="auto"/>
            <w:right w:val="none" w:sz="0" w:space="0" w:color="auto"/>
          </w:divBdr>
        </w:div>
        <w:div w:id="2075925388">
          <w:marLeft w:val="0"/>
          <w:marRight w:val="0"/>
          <w:marTop w:val="0"/>
          <w:marBottom w:val="0"/>
          <w:divBdr>
            <w:top w:val="none" w:sz="0" w:space="0" w:color="auto"/>
            <w:left w:val="none" w:sz="0" w:space="0" w:color="auto"/>
            <w:bottom w:val="none" w:sz="0" w:space="0" w:color="auto"/>
            <w:right w:val="none" w:sz="0" w:space="0" w:color="auto"/>
          </w:divBdr>
        </w:div>
        <w:div w:id="1665160649">
          <w:marLeft w:val="0"/>
          <w:marRight w:val="0"/>
          <w:marTop w:val="0"/>
          <w:marBottom w:val="0"/>
          <w:divBdr>
            <w:top w:val="none" w:sz="0" w:space="0" w:color="auto"/>
            <w:left w:val="none" w:sz="0" w:space="0" w:color="auto"/>
            <w:bottom w:val="none" w:sz="0" w:space="0" w:color="auto"/>
            <w:right w:val="none" w:sz="0" w:space="0" w:color="auto"/>
          </w:divBdr>
        </w:div>
      </w:divsChild>
    </w:div>
    <w:div w:id="707680009">
      <w:bodyDiv w:val="1"/>
      <w:marLeft w:val="0"/>
      <w:marRight w:val="0"/>
      <w:marTop w:val="0"/>
      <w:marBottom w:val="0"/>
      <w:divBdr>
        <w:top w:val="none" w:sz="0" w:space="0" w:color="auto"/>
        <w:left w:val="none" w:sz="0" w:space="0" w:color="auto"/>
        <w:bottom w:val="none" w:sz="0" w:space="0" w:color="auto"/>
        <w:right w:val="none" w:sz="0" w:space="0" w:color="auto"/>
      </w:divBdr>
      <w:divsChild>
        <w:div w:id="1280717542">
          <w:marLeft w:val="0"/>
          <w:marRight w:val="0"/>
          <w:marTop w:val="0"/>
          <w:marBottom w:val="0"/>
          <w:divBdr>
            <w:top w:val="none" w:sz="0" w:space="0" w:color="auto"/>
            <w:left w:val="none" w:sz="0" w:space="0" w:color="auto"/>
            <w:bottom w:val="none" w:sz="0" w:space="0" w:color="auto"/>
            <w:right w:val="none" w:sz="0" w:space="0" w:color="auto"/>
          </w:divBdr>
        </w:div>
        <w:div w:id="1258635762">
          <w:marLeft w:val="0"/>
          <w:marRight w:val="0"/>
          <w:marTop w:val="0"/>
          <w:marBottom w:val="0"/>
          <w:divBdr>
            <w:top w:val="none" w:sz="0" w:space="0" w:color="auto"/>
            <w:left w:val="none" w:sz="0" w:space="0" w:color="auto"/>
            <w:bottom w:val="none" w:sz="0" w:space="0" w:color="auto"/>
            <w:right w:val="none" w:sz="0" w:space="0" w:color="auto"/>
          </w:divBdr>
        </w:div>
        <w:div w:id="20476183">
          <w:marLeft w:val="0"/>
          <w:marRight w:val="0"/>
          <w:marTop w:val="0"/>
          <w:marBottom w:val="0"/>
          <w:divBdr>
            <w:top w:val="none" w:sz="0" w:space="0" w:color="auto"/>
            <w:left w:val="none" w:sz="0" w:space="0" w:color="auto"/>
            <w:bottom w:val="none" w:sz="0" w:space="0" w:color="auto"/>
            <w:right w:val="none" w:sz="0" w:space="0" w:color="auto"/>
          </w:divBdr>
        </w:div>
        <w:div w:id="583339846">
          <w:marLeft w:val="0"/>
          <w:marRight w:val="0"/>
          <w:marTop w:val="0"/>
          <w:marBottom w:val="0"/>
          <w:divBdr>
            <w:top w:val="none" w:sz="0" w:space="0" w:color="auto"/>
            <w:left w:val="none" w:sz="0" w:space="0" w:color="auto"/>
            <w:bottom w:val="none" w:sz="0" w:space="0" w:color="auto"/>
            <w:right w:val="none" w:sz="0" w:space="0" w:color="auto"/>
          </w:divBdr>
        </w:div>
        <w:div w:id="1775663764">
          <w:marLeft w:val="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19</cp:revision>
  <cp:lastPrinted>2006-08-18T16:15:00Z</cp:lastPrinted>
  <dcterms:created xsi:type="dcterms:W3CDTF">2013-12-12T15:31:00Z</dcterms:created>
  <dcterms:modified xsi:type="dcterms:W3CDTF">2022-02-23T15:54:00Z</dcterms:modified>
</cp:coreProperties>
</file>