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F3FA6">
        <w:rPr>
          <w:rFonts w:ascii="Times New Roman" w:hAnsi="Times New Roman"/>
          <w:i/>
        </w:rPr>
        <w:t>Real Estate Fundamentals,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F3FA6" w:rsidP="00B261C9">
            <w:pPr>
              <w:tabs>
                <w:tab w:val="left" w:pos="1800"/>
              </w:tabs>
              <w:autoSpaceDE w:val="0"/>
              <w:autoSpaceDN w:val="0"/>
              <w:adjustRightInd w:val="0"/>
              <w:rPr>
                <w:rFonts w:ascii="Times New Roman" w:hAnsi="Times New Roman"/>
              </w:rPr>
            </w:pPr>
            <w:r>
              <w:rPr>
                <w:rFonts w:ascii="Times New Roman" w:hAnsi="Times New Roman"/>
              </w:rPr>
              <w:t>208</w:t>
            </w:r>
          </w:p>
        </w:tc>
        <w:tc>
          <w:tcPr>
            <w:tcW w:w="3033" w:type="dxa"/>
          </w:tcPr>
          <w:p w:rsidR="00BF3FA6" w:rsidRPr="00BF3FA6" w:rsidRDefault="00BF3FA6" w:rsidP="00BF3FA6">
            <w:pPr>
              <w:autoSpaceDE w:val="0"/>
              <w:autoSpaceDN w:val="0"/>
              <w:adjustRightInd w:val="0"/>
              <w:rPr>
                <w:rFonts w:ascii="Adobe Garamond Pro" w:hAnsi="Adobe Garamond Pro" w:cs="Adobe Garamond Pro"/>
                <w:color w:val="000000"/>
              </w:rPr>
            </w:pPr>
          </w:p>
          <w:p w:rsidR="00B261C9" w:rsidRPr="00AF33C8" w:rsidRDefault="00BF3FA6" w:rsidP="00BF3FA6">
            <w:pPr>
              <w:tabs>
                <w:tab w:val="left" w:pos="1800"/>
              </w:tabs>
              <w:autoSpaceDE w:val="0"/>
              <w:autoSpaceDN w:val="0"/>
              <w:adjustRightInd w:val="0"/>
              <w:rPr>
                <w:rFonts w:ascii="Times New Roman" w:hAnsi="Times New Roman"/>
              </w:rPr>
            </w:pPr>
            <w:r w:rsidRPr="00BF3FA6">
              <w:rPr>
                <w:rFonts w:ascii="Adobe Garamond Pro" w:hAnsi="Adobe Garamond Pro"/>
                <w:color w:val="211D1E"/>
                <w:sz w:val="22"/>
                <w:szCs w:val="22"/>
              </w:rPr>
              <w:t>$150,000 × 4.5% = $6,000 annual interest</w:t>
            </w:r>
          </w:p>
        </w:tc>
        <w:tc>
          <w:tcPr>
            <w:tcW w:w="3106" w:type="dxa"/>
          </w:tcPr>
          <w:p w:rsidR="00BF3FA6" w:rsidRPr="00BF3FA6" w:rsidRDefault="00BF3FA6" w:rsidP="00BF3FA6">
            <w:pPr>
              <w:autoSpaceDE w:val="0"/>
              <w:autoSpaceDN w:val="0"/>
              <w:adjustRightInd w:val="0"/>
              <w:rPr>
                <w:rFonts w:ascii="Adobe Garamond Pro" w:hAnsi="Adobe Garamond Pro" w:cs="Adobe Garamond Pro"/>
                <w:color w:val="000000"/>
              </w:rPr>
            </w:pPr>
          </w:p>
          <w:p w:rsidR="00B261C9" w:rsidRPr="00AF33C8" w:rsidRDefault="00BF3FA6" w:rsidP="00BF3FA6">
            <w:pPr>
              <w:tabs>
                <w:tab w:val="left" w:pos="1800"/>
              </w:tabs>
              <w:autoSpaceDE w:val="0"/>
              <w:autoSpaceDN w:val="0"/>
              <w:adjustRightInd w:val="0"/>
              <w:rPr>
                <w:rFonts w:ascii="Times New Roman" w:hAnsi="Times New Roman"/>
              </w:rPr>
            </w:pPr>
            <w:r w:rsidRPr="00BF3FA6">
              <w:rPr>
                <w:rFonts w:ascii="Adobe Garamond Pro" w:hAnsi="Adobe Garamond Pro"/>
                <w:color w:val="211D1E"/>
                <w:sz w:val="22"/>
                <w:szCs w:val="22"/>
              </w:rPr>
              <w:t>$150,000 × 4.5% = $</w:t>
            </w:r>
            <w:r>
              <w:rPr>
                <w:rFonts w:ascii="Adobe Garamond Pro" w:hAnsi="Adobe Garamond Pro"/>
                <w:color w:val="211D1E"/>
                <w:sz w:val="22"/>
                <w:szCs w:val="22"/>
              </w:rPr>
              <w:t>6,750</w:t>
            </w:r>
            <w:r w:rsidRPr="00BF3FA6">
              <w:rPr>
                <w:rFonts w:ascii="Adobe Garamond Pro" w:hAnsi="Adobe Garamond Pro"/>
                <w:color w:val="211D1E"/>
                <w:sz w:val="22"/>
                <w:szCs w:val="22"/>
              </w:rPr>
              <w:t xml:space="preserve"> annual interest</w:t>
            </w:r>
          </w:p>
        </w:tc>
      </w:tr>
      <w:tr w:rsidR="00E7289A" w:rsidRPr="00B261C9" w:rsidTr="00B261C9">
        <w:trPr>
          <w:trHeight w:val="150"/>
          <w:jc w:val="center"/>
        </w:trPr>
        <w:tc>
          <w:tcPr>
            <w:tcW w:w="3181" w:type="dxa"/>
          </w:tcPr>
          <w:p w:rsidR="00E7289A" w:rsidRDefault="00E7289A" w:rsidP="00B261C9">
            <w:pPr>
              <w:tabs>
                <w:tab w:val="left" w:pos="1800"/>
              </w:tabs>
              <w:autoSpaceDE w:val="0"/>
              <w:autoSpaceDN w:val="0"/>
              <w:adjustRightInd w:val="0"/>
              <w:rPr>
                <w:rFonts w:ascii="Times New Roman" w:hAnsi="Times New Roman"/>
              </w:rPr>
            </w:pPr>
            <w:r>
              <w:rPr>
                <w:rFonts w:ascii="Times New Roman" w:hAnsi="Times New Roman"/>
              </w:rPr>
              <w:t>266, question 2</w:t>
            </w:r>
          </w:p>
        </w:tc>
        <w:tc>
          <w:tcPr>
            <w:tcW w:w="3033" w:type="dxa"/>
          </w:tcPr>
          <w:p w:rsidR="00E7289A" w:rsidRPr="00BF3FA6" w:rsidRDefault="00E7289A" w:rsidP="00BF3FA6">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b. a developer</w:t>
            </w:r>
          </w:p>
        </w:tc>
        <w:tc>
          <w:tcPr>
            <w:tcW w:w="3106" w:type="dxa"/>
          </w:tcPr>
          <w:p w:rsidR="008D7CB3" w:rsidRPr="00BF3FA6" w:rsidRDefault="00E7289A" w:rsidP="00BF3FA6">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 xml:space="preserve">b. a </w:t>
            </w:r>
            <w:proofErr w:type="spellStart"/>
            <w:r>
              <w:rPr>
                <w:rFonts w:ascii="Adobe Garamond Pro" w:hAnsi="Adobe Garamond Pro" w:cs="Adobe Garamond Pro"/>
                <w:color w:val="000000"/>
              </w:rPr>
              <w:t>subdivider</w:t>
            </w:r>
            <w:proofErr w:type="spellEnd"/>
          </w:p>
        </w:tc>
      </w:tr>
      <w:tr w:rsidR="008D7CB3" w:rsidRPr="00B261C9" w:rsidTr="00B261C9">
        <w:trPr>
          <w:trHeight w:val="150"/>
          <w:jc w:val="center"/>
        </w:trPr>
        <w:tc>
          <w:tcPr>
            <w:tcW w:w="3181" w:type="dxa"/>
          </w:tcPr>
          <w:p w:rsidR="008D7CB3" w:rsidRDefault="00DD4D66" w:rsidP="00B261C9">
            <w:pPr>
              <w:tabs>
                <w:tab w:val="left" w:pos="1800"/>
              </w:tabs>
              <w:autoSpaceDE w:val="0"/>
              <w:autoSpaceDN w:val="0"/>
              <w:adjustRightInd w:val="0"/>
              <w:rPr>
                <w:rFonts w:ascii="Times New Roman" w:hAnsi="Times New Roman"/>
              </w:rPr>
            </w:pPr>
            <w:r>
              <w:rPr>
                <w:rFonts w:ascii="Times New Roman" w:hAnsi="Times New Roman"/>
              </w:rPr>
              <w:t>368</w:t>
            </w:r>
            <w:r w:rsidR="000A5A09">
              <w:rPr>
                <w:rFonts w:ascii="Times New Roman" w:hAnsi="Times New Roman"/>
              </w:rPr>
              <w:t>, Unit 1 Review Questions</w:t>
            </w:r>
          </w:p>
        </w:tc>
        <w:tc>
          <w:tcPr>
            <w:tcW w:w="3033" w:type="dxa"/>
          </w:tcPr>
          <w:p w:rsidR="008D7CB3" w:rsidRDefault="000A5A09" w:rsidP="00BF3FA6">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1. A</w:t>
            </w:r>
          </w:p>
        </w:tc>
        <w:tc>
          <w:tcPr>
            <w:tcW w:w="3106" w:type="dxa"/>
          </w:tcPr>
          <w:p w:rsidR="008D7CB3" w:rsidRDefault="000A5A09" w:rsidP="00BF3FA6">
            <w:pPr>
              <w:autoSpaceDE w:val="0"/>
              <w:autoSpaceDN w:val="0"/>
              <w:adjustRightInd w:val="0"/>
              <w:rPr>
                <w:rFonts w:ascii="Adobe Garamond Pro" w:hAnsi="Adobe Garamond Pro" w:cs="Adobe Garamond Pro"/>
                <w:color w:val="000000"/>
              </w:rPr>
            </w:pPr>
            <w:r>
              <w:rPr>
                <w:rFonts w:ascii="Adobe Garamond Pro" w:hAnsi="Adobe Garamond Pro" w:cs="Adobe Garamond Pro"/>
                <w:color w:val="000000"/>
              </w:rPr>
              <w:t>1. B</w:t>
            </w:r>
          </w:p>
        </w:tc>
      </w:tr>
      <w:tr w:rsidR="009905E0" w:rsidRPr="00B261C9" w:rsidTr="00B261C9">
        <w:trPr>
          <w:trHeight w:val="150"/>
          <w:jc w:val="center"/>
        </w:trPr>
        <w:tc>
          <w:tcPr>
            <w:tcW w:w="3181" w:type="dxa"/>
          </w:tcPr>
          <w:p w:rsidR="009905E0" w:rsidRDefault="003E235E" w:rsidP="00B261C9">
            <w:pPr>
              <w:tabs>
                <w:tab w:val="left" w:pos="1800"/>
              </w:tabs>
              <w:autoSpaceDE w:val="0"/>
              <w:autoSpaceDN w:val="0"/>
              <w:adjustRightInd w:val="0"/>
              <w:rPr>
                <w:rFonts w:ascii="Times New Roman" w:hAnsi="Times New Roman"/>
              </w:rPr>
            </w:pPr>
            <w:r>
              <w:rPr>
                <w:rFonts w:ascii="Times New Roman" w:hAnsi="Times New Roman"/>
              </w:rPr>
              <w:t>297, Unit 18 Review Questions</w:t>
            </w:r>
          </w:p>
        </w:tc>
        <w:tc>
          <w:tcPr>
            <w:tcW w:w="3033" w:type="dxa"/>
          </w:tcPr>
          <w:p w:rsidR="003E235E" w:rsidRPr="003E235E" w:rsidRDefault="003E235E" w:rsidP="003E235E">
            <w:pPr>
              <w:autoSpaceDE w:val="0"/>
              <w:autoSpaceDN w:val="0"/>
              <w:adjustRightInd w:val="0"/>
              <w:rPr>
                <w:rFonts w:ascii="Adobe Garamond Pro" w:hAnsi="Adobe Garamond Pro"/>
                <w:color w:val="211D1E"/>
                <w:sz w:val="22"/>
                <w:szCs w:val="22"/>
              </w:rPr>
            </w:pPr>
            <w:r w:rsidRPr="003E235E">
              <w:rPr>
                <w:rFonts w:ascii="Adobe Garamond Pro" w:hAnsi="Adobe Garamond Pro"/>
                <w:color w:val="211D1E"/>
                <w:sz w:val="22"/>
                <w:szCs w:val="22"/>
              </w:rPr>
              <w:t xml:space="preserve">The sellers have indicated that they are selling their home “as is.” In this situation, the </w:t>
            </w:r>
            <w:proofErr w:type="spellStart"/>
            <w:r w:rsidRPr="003E235E">
              <w:rPr>
                <w:rFonts w:ascii="Adobe Garamond Pro" w:hAnsi="Adobe Garamond Pro"/>
                <w:color w:val="211D1E"/>
                <w:sz w:val="22"/>
                <w:szCs w:val="22"/>
              </w:rPr>
              <w:t>sellersA</w:t>
            </w:r>
            <w:proofErr w:type="spellEnd"/>
            <w:r w:rsidRPr="003E235E">
              <w:rPr>
                <w:rFonts w:ascii="Adobe Garamond Pro" w:hAnsi="Adobe Garamond Pro"/>
                <w:color w:val="211D1E"/>
                <w:sz w:val="22"/>
                <w:szCs w:val="22"/>
              </w:rPr>
              <w:t>. have no intention of making any repairs.</w:t>
            </w:r>
          </w:p>
          <w:p w:rsidR="003E235E" w:rsidRPr="003E235E" w:rsidRDefault="003E235E" w:rsidP="003E235E">
            <w:pPr>
              <w:autoSpaceDE w:val="0"/>
              <w:autoSpaceDN w:val="0"/>
              <w:adjustRightInd w:val="0"/>
              <w:rPr>
                <w:rFonts w:ascii="Adobe Garamond Pro" w:hAnsi="Adobe Garamond Pro"/>
                <w:color w:val="211D1E"/>
                <w:sz w:val="22"/>
                <w:szCs w:val="22"/>
              </w:rPr>
            </w:pPr>
            <w:r w:rsidRPr="003E235E">
              <w:rPr>
                <w:rFonts w:ascii="Adobe Garamond Pro" w:hAnsi="Adobe Garamond Pro"/>
                <w:color w:val="211D1E"/>
                <w:sz w:val="22"/>
                <w:szCs w:val="22"/>
              </w:rPr>
              <w:t>B. are not required to disclose any problems.</w:t>
            </w:r>
          </w:p>
          <w:p w:rsidR="003E235E" w:rsidRPr="003E235E" w:rsidRDefault="003E235E" w:rsidP="003E235E">
            <w:pPr>
              <w:autoSpaceDE w:val="0"/>
              <w:autoSpaceDN w:val="0"/>
              <w:adjustRightInd w:val="0"/>
              <w:rPr>
                <w:rFonts w:ascii="Adobe Garamond Pro" w:hAnsi="Adobe Garamond Pro"/>
                <w:color w:val="211D1E"/>
                <w:sz w:val="22"/>
                <w:szCs w:val="22"/>
              </w:rPr>
            </w:pPr>
            <w:r w:rsidRPr="003E235E">
              <w:rPr>
                <w:rFonts w:ascii="Adobe Garamond Pro" w:hAnsi="Adobe Garamond Pro"/>
                <w:color w:val="211D1E"/>
                <w:sz w:val="22"/>
                <w:szCs w:val="22"/>
              </w:rPr>
              <w:t>C. can avoid legal liability for nondisclosure.</w:t>
            </w:r>
          </w:p>
          <w:p w:rsidR="003E235E" w:rsidRPr="003E235E" w:rsidRDefault="003E235E" w:rsidP="003E235E">
            <w:pPr>
              <w:autoSpaceDE w:val="0"/>
              <w:autoSpaceDN w:val="0"/>
              <w:adjustRightInd w:val="0"/>
              <w:rPr>
                <w:rFonts w:ascii="Adobe Garamond Pro" w:hAnsi="Adobe Garamond Pro"/>
                <w:color w:val="211D1E"/>
                <w:sz w:val="22"/>
                <w:szCs w:val="22"/>
              </w:rPr>
            </w:pPr>
            <w:r w:rsidRPr="003E235E">
              <w:rPr>
                <w:rFonts w:ascii="Adobe Garamond Pro" w:hAnsi="Adobe Garamond Pro"/>
                <w:color w:val="211D1E"/>
                <w:sz w:val="22"/>
                <w:szCs w:val="22"/>
              </w:rPr>
              <w:t>D. rely on the law to avoid disclosure.</w:t>
            </w:r>
          </w:p>
          <w:p w:rsidR="003E235E" w:rsidRPr="003E235E" w:rsidRDefault="003E235E" w:rsidP="003E235E">
            <w:pPr>
              <w:autoSpaceDE w:val="0"/>
              <w:autoSpaceDN w:val="0"/>
              <w:adjustRightInd w:val="0"/>
              <w:rPr>
                <w:rFonts w:ascii="Adobe Garamond Pro" w:hAnsi="Adobe Garamond Pro"/>
                <w:color w:val="211D1E"/>
                <w:sz w:val="22"/>
                <w:szCs w:val="22"/>
              </w:rPr>
            </w:pPr>
          </w:p>
          <w:p w:rsidR="009905E0" w:rsidRDefault="009905E0" w:rsidP="00BF3FA6">
            <w:pPr>
              <w:autoSpaceDE w:val="0"/>
              <w:autoSpaceDN w:val="0"/>
              <w:adjustRightInd w:val="0"/>
              <w:rPr>
                <w:rFonts w:ascii="Adobe Garamond Pro" w:hAnsi="Adobe Garamond Pro" w:cs="Adobe Garamond Pro"/>
                <w:color w:val="000000"/>
              </w:rPr>
            </w:pPr>
          </w:p>
        </w:tc>
        <w:tc>
          <w:tcPr>
            <w:tcW w:w="3106" w:type="dxa"/>
          </w:tcPr>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Over the past year, a local residential area has</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been experiencing a decrease in real estate value</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of approximately 3%. If a house sold last year for</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 xml:space="preserve">$176,000, what would it </w:t>
            </w:r>
            <w:r>
              <w:rPr>
                <w:rFonts w:ascii="AGaramondPro-Italic" w:eastAsia="AGaramondPro-Regular" w:hAnsi="AGaramondPro-Italic" w:cs="AGaramondPro-Italic"/>
                <w:i/>
                <w:iCs/>
                <w:sz w:val="22"/>
                <w:szCs w:val="22"/>
              </w:rPr>
              <w:t xml:space="preserve">MOST </w:t>
            </w:r>
            <w:r>
              <w:rPr>
                <w:rFonts w:ascii="AGaramondPro-Regular" w:eastAsia="AGaramondPro-Regular" w:hAnsi="Times New Roman" w:cs="AGaramondPro-Regular"/>
                <w:sz w:val="22"/>
                <w:szCs w:val="22"/>
              </w:rPr>
              <w:t>likely sell for</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this year?</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a. $5,280</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b. $170,873</w:t>
            </w:r>
          </w:p>
          <w:p w:rsidR="009905E0" w:rsidRDefault="009905E0"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lastRenderedPageBreak/>
              <w:t>c. $173,000</w:t>
            </w:r>
          </w:p>
          <w:p w:rsidR="009905E0" w:rsidRDefault="009905E0" w:rsidP="009905E0">
            <w:pPr>
              <w:autoSpaceDE w:val="0"/>
              <w:autoSpaceDN w:val="0"/>
              <w:adjustRightInd w:val="0"/>
              <w:rPr>
                <w:rFonts w:ascii="Adobe Garamond Pro" w:hAnsi="Adobe Garamond Pro" w:cs="Adobe Garamond Pro"/>
                <w:color w:val="000000"/>
              </w:rPr>
            </w:pPr>
            <w:r>
              <w:rPr>
                <w:rFonts w:ascii="AGaramondPro-Regular" w:eastAsia="AGaramondPro-Regular" w:hAnsi="Times New Roman" w:cs="AGaramondPro-Regular"/>
                <w:sz w:val="22"/>
                <w:szCs w:val="22"/>
              </w:rPr>
              <w:t>d. $181,280</w:t>
            </w:r>
          </w:p>
        </w:tc>
      </w:tr>
      <w:tr w:rsidR="00B94654" w:rsidRPr="00B261C9" w:rsidTr="00B261C9">
        <w:trPr>
          <w:trHeight w:val="150"/>
          <w:jc w:val="center"/>
        </w:trPr>
        <w:tc>
          <w:tcPr>
            <w:tcW w:w="3181" w:type="dxa"/>
          </w:tcPr>
          <w:p w:rsidR="00B94654" w:rsidRDefault="00B94654" w:rsidP="00B261C9">
            <w:pPr>
              <w:tabs>
                <w:tab w:val="left" w:pos="1800"/>
              </w:tabs>
              <w:autoSpaceDE w:val="0"/>
              <w:autoSpaceDN w:val="0"/>
              <w:adjustRightInd w:val="0"/>
              <w:rPr>
                <w:rFonts w:ascii="Times New Roman" w:hAnsi="Times New Roman"/>
              </w:rPr>
            </w:pPr>
            <w:r>
              <w:rPr>
                <w:rFonts w:ascii="Times New Roman" w:hAnsi="Times New Roman"/>
              </w:rPr>
              <w:lastRenderedPageBreak/>
              <w:t xml:space="preserve">388 Unit 18 Review Questions </w:t>
            </w:r>
          </w:p>
        </w:tc>
        <w:tc>
          <w:tcPr>
            <w:tcW w:w="3033" w:type="dxa"/>
          </w:tcPr>
          <w:p w:rsidR="00B94654" w:rsidRPr="003E235E" w:rsidRDefault="009C1546" w:rsidP="003E235E">
            <w:pPr>
              <w:autoSpaceDE w:val="0"/>
              <w:autoSpaceDN w:val="0"/>
              <w:adjustRightInd w:val="0"/>
              <w:rPr>
                <w:rFonts w:ascii="Adobe Garamond Pro" w:hAnsi="Adobe Garamond Pro"/>
                <w:color w:val="211D1E"/>
                <w:sz w:val="22"/>
                <w:szCs w:val="22"/>
              </w:rPr>
            </w:pPr>
            <w:r>
              <w:rPr>
                <w:rFonts w:ascii="Adobe Garamond Pro" w:hAnsi="Adobe Garamond Pro"/>
                <w:color w:val="211D1E"/>
                <w:sz w:val="22"/>
                <w:szCs w:val="22"/>
              </w:rPr>
              <w:t>7. B. 170,720.</w:t>
            </w:r>
          </w:p>
        </w:tc>
        <w:tc>
          <w:tcPr>
            <w:tcW w:w="3106" w:type="dxa"/>
          </w:tcPr>
          <w:p w:rsidR="00B94654" w:rsidRDefault="009C1546" w:rsidP="009905E0">
            <w:pPr>
              <w:autoSpaceDE w:val="0"/>
              <w:autoSpaceDN w:val="0"/>
              <w:adjustRightInd w:val="0"/>
              <w:rPr>
                <w:rFonts w:ascii="AGaramondPro-Regular" w:eastAsia="AGaramondPro-Regular" w:hAnsi="Times New Roman" w:cs="AGaramondPro-Regular"/>
                <w:sz w:val="22"/>
                <w:szCs w:val="22"/>
              </w:rPr>
            </w:pPr>
            <w:r>
              <w:rPr>
                <w:rFonts w:ascii="AGaramondPro-Regular" w:eastAsia="AGaramondPro-Regular" w:hAnsi="Times New Roman" w:cs="AGaramondPro-Regular"/>
                <w:sz w:val="22"/>
                <w:szCs w:val="22"/>
              </w:rPr>
              <w:t xml:space="preserve">7. B. </w:t>
            </w:r>
            <w:r>
              <w:rPr>
                <w:rFonts w:ascii="AGaramondPro-Regular" w:eastAsia="AGaramondPro-Regular" w:hint="eastAsia"/>
                <w:color w:val="222222"/>
                <w:sz w:val="22"/>
                <w:szCs w:val="22"/>
                <w:shd w:val="clear" w:color="auto" w:fill="FFFFFF"/>
              </w:rPr>
              <w:t>170,873</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AGaramondPro-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361C2C">
      <w:rPr>
        <w:rFonts w:ascii="Arial" w:hAnsi="Arial" w:cs="Arial"/>
        <w:sz w:val="20"/>
        <w:szCs w:val="20"/>
      </w:rPr>
      <w:t>22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BF3FA6" w:rsidP="0094174A">
    <w:pPr>
      <w:pStyle w:val="Header"/>
      <w:jc w:val="right"/>
      <w:rPr>
        <w:rFonts w:ascii="Arial" w:hAnsi="Arial" w:cs="Arial"/>
        <w:i/>
        <w:sz w:val="20"/>
        <w:szCs w:val="20"/>
      </w:rPr>
    </w:pPr>
    <w:r>
      <w:rPr>
        <w:rFonts w:ascii="Arial" w:hAnsi="Arial" w:cs="Arial"/>
        <w:i/>
        <w:sz w:val="20"/>
        <w:szCs w:val="20"/>
      </w:rPr>
      <w:t>Real Estate Fundamentals, Tenth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A5A09"/>
    <w:rsid w:val="000C6E81"/>
    <w:rsid w:val="000D144B"/>
    <w:rsid w:val="000D5A98"/>
    <w:rsid w:val="001159C0"/>
    <w:rsid w:val="00173F59"/>
    <w:rsid w:val="001B1E7E"/>
    <w:rsid w:val="002B00B8"/>
    <w:rsid w:val="00356FB2"/>
    <w:rsid w:val="00361C2C"/>
    <w:rsid w:val="003D4AB7"/>
    <w:rsid w:val="003E235E"/>
    <w:rsid w:val="003F134C"/>
    <w:rsid w:val="00400649"/>
    <w:rsid w:val="004147EB"/>
    <w:rsid w:val="00414AE1"/>
    <w:rsid w:val="0044429C"/>
    <w:rsid w:val="004A05EC"/>
    <w:rsid w:val="004F1FBD"/>
    <w:rsid w:val="005B5AB5"/>
    <w:rsid w:val="006217A0"/>
    <w:rsid w:val="0068025B"/>
    <w:rsid w:val="00705BF4"/>
    <w:rsid w:val="007214B0"/>
    <w:rsid w:val="007C0232"/>
    <w:rsid w:val="008D7CB3"/>
    <w:rsid w:val="00927FB5"/>
    <w:rsid w:val="0094174A"/>
    <w:rsid w:val="009905E0"/>
    <w:rsid w:val="0099521C"/>
    <w:rsid w:val="009C1546"/>
    <w:rsid w:val="00A410F8"/>
    <w:rsid w:val="00A54C6C"/>
    <w:rsid w:val="00AB5671"/>
    <w:rsid w:val="00AD6786"/>
    <w:rsid w:val="00AF33C8"/>
    <w:rsid w:val="00B261C9"/>
    <w:rsid w:val="00B4617B"/>
    <w:rsid w:val="00B94654"/>
    <w:rsid w:val="00BF3FA6"/>
    <w:rsid w:val="00D00B2E"/>
    <w:rsid w:val="00D15438"/>
    <w:rsid w:val="00D70BAC"/>
    <w:rsid w:val="00D815DC"/>
    <w:rsid w:val="00DD4D66"/>
    <w:rsid w:val="00DE2E72"/>
    <w:rsid w:val="00E04CE3"/>
    <w:rsid w:val="00E7289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DB8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1">
    <w:name w:val="A11"/>
    <w:uiPriority w:val="99"/>
    <w:rsid w:val="003E235E"/>
    <w:rPr>
      <w:rFonts w:cs="Adobe Garamond Pro"/>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235</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6</cp:revision>
  <cp:lastPrinted>2006-08-18T16:15:00Z</cp:lastPrinted>
  <dcterms:created xsi:type="dcterms:W3CDTF">2022-03-10T17:08:00Z</dcterms:created>
  <dcterms:modified xsi:type="dcterms:W3CDTF">2022-03-15T17:17:00Z</dcterms:modified>
</cp:coreProperties>
</file>