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31966714" w14:textId="6629D81A" w:rsidR="00173F59" w:rsidRPr="000D2B7D"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0D2B7D" w:rsidRPr="000D2B7D">
        <w:rPr>
          <w:rFonts w:ascii="Times New Roman" w:hAnsi="Times New Roman"/>
          <w:b/>
          <w:i/>
        </w:rPr>
        <w:t>FLORIDA REAL ESTATE PRINCIPALS, PRACTICES &amp; LAW, 47TH EDITION</w:t>
      </w:r>
    </w:p>
    <w:p w14:paraId="71FD3D46" w14:textId="77777777" w:rsidR="00173F59" w:rsidRDefault="00173F59" w:rsidP="00173F59">
      <w:pPr>
        <w:tabs>
          <w:tab w:val="left" w:pos="1800"/>
        </w:tabs>
        <w:autoSpaceDE w:val="0"/>
        <w:autoSpaceDN w:val="0"/>
        <w:adjustRightInd w:val="0"/>
        <w:rPr>
          <w:rFonts w:ascii="Times New Roman" w:hAnsi="Times New Roman"/>
          <w:b/>
        </w:rPr>
      </w:pPr>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77777777" w:rsidR="00B261C9" w:rsidRPr="007C0232" w:rsidRDefault="00B261C9" w:rsidP="00173F59">
      <w:pPr>
        <w:tabs>
          <w:tab w:val="left" w:pos="1800"/>
        </w:tabs>
        <w:autoSpaceDE w:val="0"/>
        <w:autoSpaceDN w:val="0"/>
        <w:adjustRightInd w:val="0"/>
        <w:rPr>
          <w:rFonts w:ascii="Times New Roman" w:hAnsi="Times New Roman"/>
          <w:b/>
        </w:rPr>
      </w:pPr>
    </w:p>
    <w:tbl>
      <w:tblPr>
        <w:tblpPr w:leftFromText="180" w:rightFromText="180" w:vertAnchor="text" w:tblpXSpec="center" w:tblpY="1"/>
        <w:tblOverlap w:val="neve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1785ED02" w14:textId="77777777" w:rsidTr="00EB76B2">
        <w:trPr>
          <w:trHeight w:val="144"/>
        </w:trPr>
        <w:tc>
          <w:tcPr>
            <w:tcW w:w="3358" w:type="dxa"/>
            <w:shd w:val="clear" w:color="auto" w:fill="CCFFCC"/>
          </w:tcPr>
          <w:p w14:paraId="64D5D8D2" w14:textId="77777777" w:rsidR="00B261C9" w:rsidRPr="00B261C9" w:rsidRDefault="00B261C9" w:rsidP="001C2DC5">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7AEBDB35" w14:textId="77777777" w:rsidR="00B261C9" w:rsidRPr="00B261C9" w:rsidRDefault="004F1FBD" w:rsidP="001C2DC5">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4545882D" w14:textId="77777777" w:rsidR="00B261C9" w:rsidRPr="00B261C9" w:rsidRDefault="004F1FBD" w:rsidP="001C2DC5">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480004" w:rsidRPr="00B261C9" w14:paraId="7B78E127" w14:textId="77777777" w:rsidTr="00EB76B2">
        <w:trPr>
          <w:trHeight w:val="150"/>
        </w:trPr>
        <w:tc>
          <w:tcPr>
            <w:tcW w:w="3358" w:type="dxa"/>
          </w:tcPr>
          <w:p w14:paraId="02E7067C" w14:textId="6AA5A207" w:rsidR="00480004" w:rsidRPr="000D2B7D" w:rsidRDefault="00480004" w:rsidP="001C2DC5">
            <w:pPr>
              <w:autoSpaceDE w:val="0"/>
              <w:autoSpaceDN w:val="0"/>
              <w:adjustRightInd w:val="0"/>
              <w:rPr>
                <w:rFonts w:ascii="Times New Roman" w:hAnsi="Times New Roman"/>
                <w:color w:val="000000"/>
              </w:rPr>
            </w:pPr>
            <w:r>
              <w:rPr>
                <w:rFonts w:ascii="Times New Roman" w:hAnsi="Times New Roman"/>
                <w:color w:val="000000"/>
              </w:rPr>
              <w:t>p.</w:t>
            </w:r>
            <w:r w:rsidR="0006638B">
              <w:rPr>
                <w:rFonts w:ascii="Times New Roman" w:hAnsi="Times New Roman"/>
                <w:color w:val="000000"/>
              </w:rPr>
              <w:t>23</w:t>
            </w:r>
            <w:r>
              <w:rPr>
                <w:rFonts w:ascii="Times New Roman" w:hAnsi="Times New Roman"/>
                <w:color w:val="000000"/>
              </w:rPr>
              <w:t>, unit 2, line 22</w:t>
            </w:r>
          </w:p>
        </w:tc>
        <w:tc>
          <w:tcPr>
            <w:tcW w:w="3203" w:type="dxa"/>
          </w:tcPr>
          <w:p w14:paraId="73F061EA" w14:textId="5F223A7C" w:rsidR="00480004" w:rsidRPr="001C2DC5" w:rsidRDefault="00480004" w:rsidP="001C2DC5">
            <w:pPr>
              <w:rPr>
                <w:rFonts w:ascii="Times New Roman" w:hAnsi="Times New Roman"/>
                <w:color w:val="000000"/>
              </w:rPr>
            </w:pPr>
            <w:r w:rsidRPr="00480004">
              <w:rPr>
                <w:rFonts w:ascii="Times New Roman" w:hAnsi="Times New Roman"/>
                <w:color w:val="000000"/>
              </w:rPr>
              <w:t>License examinations for sales associate and broker applicants are given in person at a testing center or online proctor through the testing vendor.</w:t>
            </w:r>
          </w:p>
        </w:tc>
        <w:tc>
          <w:tcPr>
            <w:tcW w:w="3193" w:type="dxa"/>
          </w:tcPr>
          <w:p w14:paraId="67E947EB" w14:textId="2171ED99" w:rsidR="00480004" w:rsidRPr="001C2DC5" w:rsidRDefault="00480004" w:rsidP="001C2DC5">
            <w:pPr>
              <w:tabs>
                <w:tab w:val="left" w:pos="1800"/>
              </w:tabs>
              <w:autoSpaceDE w:val="0"/>
              <w:autoSpaceDN w:val="0"/>
              <w:adjustRightInd w:val="0"/>
              <w:rPr>
                <w:rFonts w:ascii="Times New Roman" w:hAnsi="Times New Roman"/>
              </w:rPr>
            </w:pPr>
            <w:r w:rsidRPr="00480004">
              <w:rPr>
                <w:rFonts w:ascii="Times New Roman" w:hAnsi="Times New Roman"/>
              </w:rPr>
              <w:t>…are given in person at a testing center operated by the testing vendor.</w:t>
            </w:r>
          </w:p>
        </w:tc>
      </w:tr>
      <w:tr w:rsidR="00480004" w:rsidRPr="00B261C9" w14:paraId="713BEF13" w14:textId="77777777" w:rsidTr="00EB76B2">
        <w:trPr>
          <w:trHeight w:val="150"/>
        </w:trPr>
        <w:tc>
          <w:tcPr>
            <w:tcW w:w="3358" w:type="dxa"/>
          </w:tcPr>
          <w:p w14:paraId="25CC5A99" w14:textId="40E8D6EC" w:rsidR="00480004" w:rsidRPr="000D2B7D" w:rsidRDefault="00480004" w:rsidP="001C2DC5">
            <w:pPr>
              <w:autoSpaceDE w:val="0"/>
              <w:autoSpaceDN w:val="0"/>
              <w:adjustRightInd w:val="0"/>
              <w:rPr>
                <w:rFonts w:ascii="Times New Roman" w:hAnsi="Times New Roman"/>
                <w:color w:val="000000"/>
              </w:rPr>
            </w:pPr>
            <w:r>
              <w:rPr>
                <w:rFonts w:ascii="Times New Roman" w:hAnsi="Times New Roman"/>
                <w:color w:val="000000"/>
              </w:rPr>
              <w:t>p.</w:t>
            </w:r>
            <w:r w:rsidR="00BE25BD">
              <w:rPr>
                <w:rFonts w:ascii="Times New Roman" w:hAnsi="Times New Roman"/>
                <w:color w:val="000000"/>
              </w:rPr>
              <w:t>23</w:t>
            </w:r>
            <w:r>
              <w:rPr>
                <w:rFonts w:ascii="Times New Roman" w:hAnsi="Times New Roman"/>
                <w:color w:val="000000"/>
              </w:rPr>
              <w:t>, Unit 2, line 27</w:t>
            </w:r>
          </w:p>
        </w:tc>
        <w:tc>
          <w:tcPr>
            <w:tcW w:w="3203" w:type="dxa"/>
          </w:tcPr>
          <w:p w14:paraId="2BBC56E1" w14:textId="79F48600" w:rsidR="00480004" w:rsidRPr="001C2DC5" w:rsidRDefault="00480004" w:rsidP="001C2DC5">
            <w:pPr>
              <w:rPr>
                <w:rFonts w:ascii="Times New Roman" w:hAnsi="Times New Roman"/>
                <w:color w:val="000000"/>
              </w:rPr>
            </w:pPr>
            <w:r w:rsidRPr="00480004">
              <w:rPr>
                <w:rFonts w:ascii="Times New Roman" w:hAnsi="Times New Roman"/>
                <w:color w:val="000000"/>
              </w:rPr>
              <w:t>…issued by the school at the scheduled examination (in person or proctored) as proof that…</w:t>
            </w:r>
          </w:p>
        </w:tc>
        <w:tc>
          <w:tcPr>
            <w:tcW w:w="3193" w:type="dxa"/>
          </w:tcPr>
          <w:p w14:paraId="735DD186" w14:textId="04B0C0BC" w:rsidR="00480004" w:rsidRPr="001C2DC5" w:rsidRDefault="00480004" w:rsidP="001C2DC5">
            <w:pPr>
              <w:tabs>
                <w:tab w:val="left" w:pos="1800"/>
              </w:tabs>
              <w:autoSpaceDE w:val="0"/>
              <w:autoSpaceDN w:val="0"/>
              <w:adjustRightInd w:val="0"/>
              <w:rPr>
                <w:rFonts w:ascii="Times New Roman" w:hAnsi="Times New Roman"/>
              </w:rPr>
            </w:pPr>
            <w:r w:rsidRPr="00480004">
              <w:rPr>
                <w:rFonts w:ascii="Times New Roman" w:hAnsi="Times New Roman"/>
              </w:rPr>
              <w:t>…issued by the school at the scheduled examination (in person or proctored) as proof that</w:t>
            </w:r>
            <w:proofErr w:type="gramStart"/>
            <w:r w:rsidRPr="00480004">
              <w:rPr>
                <w:rFonts w:ascii="Times New Roman" w:hAnsi="Times New Roman"/>
              </w:rPr>
              <w:t xml:space="preserve"> ..</w:t>
            </w:r>
            <w:proofErr w:type="gramEnd"/>
          </w:p>
        </w:tc>
      </w:tr>
      <w:tr w:rsidR="00B261C9" w:rsidRPr="00B261C9" w14:paraId="3BF6676C" w14:textId="77777777" w:rsidTr="00EB76B2">
        <w:trPr>
          <w:trHeight w:val="150"/>
        </w:trPr>
        <w:tc>
          <w:tcPr>
            <w:tcW w:w="3358" w:type="dxa"/>
          </w:tcPr>
          <w:p w14:paraId="573344A3" w14:textId="77777777" w:rsidR="000D2B7D" w:rsidRPr="000D2B7D" w:rsidRDefault="000D2B7D" w:rsidP="001C2DC5">
            <w:pPr>
              <w:autoSpaceDE w:val="0"/>
              <w:autoSpaceDN w:val="0"/>
              <w:adjustRightInd w:val="0"/>
              <w:rPr>
                <w:rFonts w:ascii="Times New Roman" w:hAnsi="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0D2B7D" w:rsidRPr="000D2B7D" w14:paraId="67B94B5C" w14:textId="77777777">
              <w:trPr>
                <w:trHeight w:val="250"/>
              </w:trPr>
              <w:tc>
                <w:tcPr>
                  <w:tcW w:w="9579" w:type="dxa"/>
                </w:tcPr>
                <w:p w14:paraId="64DCF3DC" w14:textId="77777777"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rPr>
                    <w:t xml:space="preserve"> </w:t>
                  </w:r>
                  <w:r w:rsidRPr="000D2B7D">
                    <w:rPr>
                      <w:rFonts w:ascii="Times New Roman" w:hAnsi="Times New Roman"/>
                      <w:color w:val="000000"/>
                      <w:sz w:val="20"/>
                      <w:szCs w:val="20"/>
                    </w:rPr>
                    <w:t xml:space="preserve">Pg. 23, Unit 2, </w:t>
                  </w:r>
                </w:p>
                <w:p w14:paraId="0B84262D" w14:textId="77777777"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sz w:val="20"/>
                      <w:szCs w:val="20"/>
                    </w:rPr>
                    <w:t xml:space="preserve">Line 31-32 </w:t>
                  </w:r>
                </w:p>
              </w:tc>
            </w:tr>
          </w:tbl>
          <w:p w14:paraId="07E22438" w14:textId="6B976C12" w:rsidR="00B261C9" w:rsidRPr="00AF33C8" w:rsidRDefault="00B261C9" w:rsidP="001C2DC5">
            <w:pPr>
              <w:tabs>
                <w:tab w:val="left" w:pos="1800"/>
              </w:tabs>
              <w:autoSpaceDE w:val="0"/>
              <w:autoSpaceDN w:val="0"/>
              <w:adjustRightInd w:val="0"/>
              <w:rPr>
                <w:rFonts w:ascii="Times New Roman" w:hAnsi="Times New Roman"/>
              </w:rPr>
            </w:pPr>
          </w:p>
        </w:tc>
        <w:tc>
          <w:tcPr>
            <w:tcW w:w="3203" w:type="dxa"/>
          </w:tcPr>
          <w:p w14:paraId="09943E8E" w14:textId="46170811" w:rsidR="00B261C9" w:rsidRPr="00AF33C8" w:rsidRDefault="001C2DC5" w:rsidP="001C2DC5">
            <w:pPr>
              <w:rPr>
                <w:rFonts w:ascii="Times New Roman" w:hAnsi="Times New Roman"/>
              </w:rPr>
            </w:pPr>
            <w:r w:rsidRPr="001C2DC5">
              <w:rPr>
                <w:rFonts w:ascii="Times New Roman" w:hAnsi="Times New Roman"/>
                <w:color w:val="000000"/>
              </w:rPr>
              <w:t>The Occupational Opportunity Act provides license reciprocity to active duty and….</w:t>
            </w:r>
          </w:p>
        </w:tc>
        <w:tc>
          <w:tcPr>
            <w:tcW w:w="3193" w:type="dxa"/>
          </w:tcPr>
          <w:p w14:paraId="173088A2" w14:textId="4964BB7C" w:rsidR="00B261C9" w:rsidRPr="00AF33C8" w:rsidRDefault="001C2DC5" w:rsidP="001C2DC5">
            <w:pPr>
              <w:tabs>
                <w:tab w:val="left" w:pos="1800"/>
              </w:tabs>
              <w:autoSpaceDE w:val="0"/>
              <w:autoSpaceDN w:val="0"/>
              <w:adjustRightInd w:val="0"/>
              <w:rPr>
                <w:rFonts w:ascii="Times New Roman" w:hAnsi="Times New Roman"/>
              </w:rPr>
            </w:pPr>
            <w:r w:rsidRPr="001C2DC5">
              <w:rPr>
                <w:rFonts w:ascii="Times New Roman" w:hAnsi="Times New Roman"/>
              </w:rPr>
              <w:t xml:space="preserve">The Occupational Opportunity Act provides license </w:t>
            </w:r>
            <w:r w:rsidRPr="001C2DC5">
              <w:rPr>
                <w:rFonts w:ascii="Times New Roman" w:hAnsi="Times New Roman"/>
                <w:u w:val="single"/>
              </w:rPr>
              <w:t xml:space="preserve">by endorsement and </w:t>
            </w:r>
            <w:r w:rsidRPr="001C2DC5">
              <w:rPr>
                <w:rFonts w:ascii="Times New Roman" w:hAnsi="Times New Roman"/>
              </w:rPr>
              <w:t>reciprocity provisions to active duty and</w:t>
            </w:r>
          </w:p>
        </w:tc>
      </w:tr>
      <w:tr w:rsidR="00B20D6C" w:rsidRPr="00B261C9" w14:paraId="4D46763D" w14:textId="77777777" w:rsidTr="00EB76B2">
        <w:trPr>
          <w:trHeight w:val="150"/>
        </w:trPr>
        <w:tc>
          <w:tcPr>
            <w:tcW w:w="3358" w:type="dxa"/>
          </w:tcPr>
          <w:p w14:paraId="70A93EEF" w14:textId="77777777" w:rsidR="000D2B7D" w:rsidRPr="000D2B7D" w:rsidRDefault="000D2B7D" w:rsidP="001C2DC5">
            <w:pPr>
              <w:autoSpaceDE w:val="0"/>
              <w:autoSpaceDN w:val="0"/>
              <w:adjustRightInd w:val="0"/>
              <w:rPr>
                <w:rFonts w:ascii="Times New Roman" w:hAnsi="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0D2B7D" w:rsidRPr="000D2B7D" w14:paraId="5CA60CDC" w14:textId="77777777">
              <w:trPr>
                <w:trHeight w:val="250"/>
              </w:trPr>
              <w:tc>
                <w:tcPr>
                  <w:tcW w:w="9579" w:type="dxa"/>
                </w:tcPr>
                <w:p w14:paraId="27E04BA4" w14:textId="77777777"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rPr>
                    <w:t xml:space="preserve"> </w:t>
                  </w:r>
                  <w:r w:rsidRPr="000D2B7D">
                    <w:rPr>
                      <w:rFonts w:ascii="Times New Roman" w:hAnsi="Times New Roman"/>
                      <w:color w:val="000000"/>
                      <w:sz w:val="20"/>
                      <w:szCs w:val="20"/>
                    </w:rPr>
                    <w:t xml:space="preserve">Pg. 81, Unit 4, </w:t>
                  </w:r>
                </w:p>
                <w:p w14:paraId="62C28CF2" w14:textId="77777777"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sz w:val="20"/>
                      <w:szCs w:val="20"/>
                    </w:rPr>
                    <w:t xml:space="preserve">Line 18 </w:t>
                  </w:r>
                </w:p>
              </w:tc>
            </w:tr>
          </w:tbl>
          <w:p w14:paraId="76EA7964" w14:textId="1AEED789" w:rsidR="00B20D6C" w:rsidRPr="00B20D6C" w:rsidRDefault="00B20D6C" w:rsidP="001C2DC5">
            <w:pPr>
              <w:tabs>
                <w:tab w:val="left" w:pos="1800"/>
              </w:tabs>
              <w:autoSpaceDE w:val="0"/>
              <w:autoSpaceDN w:val="0"/>
              <w:adjustRightInd w:val="0"/>
              <w:rPr>
                <w:rFonts w:ascii="Times New Roman" w:hAnsi="Times New Roman"/>
              </w:rPr>
            </w:pPr>
          </w:p>
        </w:tc>
        <w:tc>
          <w:tcPr>
            <w:tcW w:w="3203" w:type="dxa"/>
          </w:tcPr>
          <w:p w14:paraId="1C3FE565" w14:textId="0B8FE9A6" w:rsidR="00B20D6C" w:rsidRPr="00B20D6C" w:rsidRDefault="001C2DC5" w:rsidP="001C2DC5">
            <w:pPr>
              <w:tabs>
                <w:tab w:val="left" w:pos="1800"/>
              </w:tabs>
              <w:autoSpaceDE w:val="0"/>
              <w:autoSpaceDN w:val="0"/>
              <w:adjustRightInd w:val="0"/>
              <w:rPr>
                <w:rFonts w:ascii="Times New Roman" w:hAnsi="Times New Roman"/>
              </w:rPr>
            </w:pPr>
            <w:r w:rsidRPr="001C2DC5">
              <w:rPr>
                <w:rFonts w:ascii="Times New Roman" w:hAnsi="Times New Roman"/>
                <w:color w:val="000000"/>
              </w:rPr>
              <w:t>…brokerage relationship duties of nonrepresentation, single agent, and…</w:t>
            </w:r>
          </w:p>
        </w:tc>
        <w:tc>
          <w:tcPr>
            <w:tcW w:w="3193" w:type="dxa"/>
          </w:tcPr>
          <w:p w14:paraId="5A50151A" w14:textId="1D80C6AC" w:rsidR="00B20D6C" w:rsidRPr="00B20D6C" w:rsidRDefault="001C2DC5" w:rsidP="001C2DC5">
            <w:pPr>
              <w:tabs>
                <w:tab w:val="left" w:pos="1800"/>
              </w:tabs>
              <w:autoSpaceDE w:val="0"/>
              <w:autoSpaceDN w:val="0"/>
              <w:adjustRightInd w:val="0"/>
              <w:rPr>
                <w:rFonts w:ascii="Times New Roman" w:hAnsi="Times New Roman"/>
              </w:rPr>
            </w:pPr>
            <w:r w:rsidRPr="001C2DC5">
              <w:rPr>
                <w:rFonts w:ascii="Times New Roman" w:hAnsi="Times New Roman"/>
              </w:rPr>
              <w:t xml:space="preserve">…brokerage relationship duties of </w:t>
            </w:r>
            <w:r w:rsidRPr="001C2DC5">
              <w:rPr>
                <w:rFonts w:ascii="Times New Roman" w:hAnsi="Times New Roman"/>
                <w:u w:val="single"/>
              </w:rPr>
              <w:t>no brokerage relationship</w:t>
            </w:r>
            <w:r w:rsidRPr="001C2DC5">
              <w:rPr>
                <w:rFonts w:ascii="Times New Roman" w:hAnsi="Times New Roman"/>
              </w:rPr>
              <w:t>, single agent, and…</w:t>
            </w:r>
          </w:p>
        </w:tc>
      </w:tr>
      <w:tr w:rsidR="00FD1CFE" w:rsidRPr="00B261C9" w14:paraId="64CCE9D4" w14:textId="77777777" w:rsidTr="00EB76B2">
        <w:trPr>
          <w:trHeight w:val="150"/>
        </w:trPr>
        <w:tc>
          <w:tcPr>
            <w:tcW w:w="3358" w:type="dxa"/>
          </w:tcPr>
          <w:p w14:paraId="646EFC2E" w14:textId="4D4B0208" w:rsidR="00FD1CFE" w:rsidRPr="000D2B7D" w:rsidRDefault="00FD1CFE" w:rsidP="001C2DC5">
            <w:pPr>
              <w:autoSpaceDE w:val="0"/>
              <w:autoSpaceDN w:val="0"/>
              <w:adjustRightInd w:val="0"/>
              <w:rPr>
                <w:rFonts w:ascii="Times New Roman" w:hAnsi="Times New Roman"/>
                <w:color w:val="000000"/>
              </w:rPr>
            </w:pPr>
            <w:r>
              <w:rPr>
                <w:rFonts w:ascii="Times New Roman" w:hAnsi="Times New Roman"/>
                <w:color w:val="000000"/>
              </w:rPr>
              <w:t>Page 172, point 3 of 7.6 Summary of Important Points</w:t>
            </w:r>
          </w:p>
        </w:tc>
        <w:tc>
          <w:tcPr>
            <w:tcW w:w="3203" w:type="dxa"/>
          </w:tcPr>
          <w:p w14:paraId="24A8121B" w14:textId="77777777" w:rsidR="00FD1CFE" w:rsidRDefault="00FD1CFE" w:rsidP="00FD1CFE">
            <w:pPr>
              <w:autoSpaceDE w:val="0"/>
              <w:autoSpaceDN w:val="0"/>
              <w:adjustRightInd w:val="0"/>
              <w:rPr>
                <w:rFonts w:ascii="GoudyStd" w:hAnsi="GoudyStd" w:cs="GoudyStd"/>
                <w:sz w:val="22"/>
                <w:szCs w:val="22"/>
              </w:rPr>
            </w:pPr>
            <w:r>
              <w:rPr>
                <w:rFonts w:ascii="GoudyStd" w:hAnsi="GoudyStd" w:cs="GoudyStd"/>
                <w:sz w:val="22"/>
                <w:szCs w:val="22"/>
              </w:rPr>
              <w:t>The Fair Housing Act does not protect individuals based on age,</w:t>
            </w:r>
          </w:p>
          <w:p w14:paraId="10CD67DA" w14:textId="5ECB69E0" w:rsidR="00FD1CFE" w:rsidRPr="000D2B7D" w:rsidRDefault="00FD1CFE" w:rsidP="00FD1CFE">
            <w:pPr>
              <w:autoSpaceDE w:val="0"/>
              <w:autoSpaceDN w:val="0"/>
              <w:adjustRightInd w:val="0"/>
              <w:rPr>
                <w:rFonts w:ascii="Times New Roman" w:hAnsi="Times New Roman"/>
                <w:color w:val="000000"/>
              </w:rPr>
            </w:pPr>
            <w:r>
              <w:rPr>
                <w:rFonts w:ascii="GoudyStd" w:hAnsi="GoudyStd" w:cs="GoudyStd"/>
                <w:sz w:val="22"/>
                <w:szCs w:val="22"/>
              </w:rPr>
              <w:t>occupation, marital status, or sexual orientation.</w:t>
            </w:r>
          </w:p>
        </w:tc>
        <w:tc>
          <w:tcPr>
            <w:tcW w:w="3193" w:type="dxa"/>
          </w:tcPr>
          <w:p w14:paraId="6F3DFA3A" w14:textId="77777777" w:rsidR="00FD1CFE" w:rsidRDefault="00FD1CFE" w:rsidP="00FD1CFE">
            <w:pPr>
              <w:autoSpaceDE w:val="0"/>
              <w:autoSpaceDN w:val="0"/>
              <w:adjustRightInd w:val="0"/>
              <w:rPr>
                <w:rFonts w:ascii="GoudyStd" w:hAnsi="GoudyStd" w:cs="GoudyStd"/>
                <w:sz w:val="22"/>
                <w:szCs w:val="22"/>
              </w:rPr>
            </w:pPr>
            <w:r>
              <w:rPr>
                <w:rFonts w:ascii="GoudyStd" w:hAnsi="GoudyStd" w:cs="GoudyStd"/>
                <w:sz w:val="22"/>
                <w:szCs w:val="22"/>
              </w:rPr>
              <w:t>The Fair Housing Act does not protect individuals based on age,</w:t>
            </w:r>
          </w:p>
          <w:p w14:paraId="3315C254" w14:textId="023FD228" w:rsidR="00FD1CFE" w:rsidRPr="001C2DC5" w:rsidRDefault="00FD1CFE" w:rsidP="00FD1CFE">
            <w:pPr>
              <w:autoSpaceDE w:val="0"/>
              <w:autoSpaceDN w:val="0"/>
              <w:adjustRightInd w:val="0"/>
              <w:rPr>
                <w:rFonts w:ascii="Times New Roman" w:hAnsi="Times New Roman"/>
                <w:color w:val="000000"/>
              </w:rPr>
            </w:pPr>
            <w:r>
              <w:rPr>
                <w:rFonts w:ascii="GoudyStd" w:hAnsi="GoudyStd" w:cs="GoudyStd"/>
                <w:sz w:val="22"/>
                <w:szCs w:val="22"/>
              </w:rPr>
              <w:t>occupation</w:t>
            </w:r>
            <w:r w:rsidRPr="00FD1CFE">
              <w:rPr>
                <w:rFonts w:ascii="GoudyStd" w:hAnsi="GoudyStd" w:cs="GoudyStd"/>
                <w:color w:val="FF0000"/>
                <w:sz w:val="22"/>
                <w:szCs w:val="22"/>
              </w:rPr>
              <w:t>, or marital status.</w:t>
            </w:r>
          </w:p>
        </w:tc>
      </w:tr>
      <w:tr w:rsidR="00ED76CF" w:rsidRPr="00B261C9" w14:paraId="72296ABE" w14:textId="77777777" w:rsidTr="00EB76B2">
        <w:trPr>
          <w:trHeight w:val="150"/>
        </w:trPr>
        <w:tc>
          <w:tcPr>
            <w:tcW w:w="3358" w:type="dxa"/>
          </w:tcPr>
          <w:p w14:paraId="66788DF8" w14:textId="77777777" w:rsidR="000D2B7D" w:rsidRPr="000D2B7D" w:rsidRDefault="000D2B7D" w:rsidP="001C2DC5">
            <w:pPr>
              <w:autoSpaceDE w:val="0"/>
              <w:autoSpaceDN w:val="0"/>
              <w:adjustRightInd w:val="0"/>
              <w:rPr>
                <w:rFonts w:ascii="Times New Roman" w:hAnsi="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0D2B7D" w:rsidRPr="000D2B7D" w14:paraId="3B6235A8" w14:textId="77777777">
              <w:trPr>
                <w:trHeight w:val="250"/>
              </w:trPr>
              <w:tc>
                <w:tcPr>
                  <w:tcW w:w="9579" w:type="dxa"/>
                </w:tcPr>
                <w:p w14:paraId="39EB6339" w14:textId="77777777"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rPr>
                    <w:t xml:space="preserve"> </w:t>
                  </w:r>
                  <w:r w:rsidRPr="000D2B7D">
                    <w:rPr>
                      <w:rFonts w:ascii="Times New Roman" w:hAnsi="Times New Roman"/>
                      <w:color w:val="000000"/>
                      <w:sz w:val="20"/>
                      <w:szCs w:val="20"/>
                    </w:rPr>
                    <w:t xml:space="preserve">Pg. 186, Unit 8, </w:t>
                  </w:r>
                </w:p>
                <w:p w14:paraId="164A4C6A" w14:textId="637ED651" w:rsidR="000D2B7D" w:rsidRPr="000D2B7D" w:rsidRDefault="000D2B7D"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sz w:val="20"/>
                      <w:szCs w:val="20"/>
                    </w:rPr>
                    <w:t xml:space="preserve">Line </w:t>
                  </w:r>
                  <w:r w:rsidR="00EB76B2">
                    <w:rPr>
                      <w:rFonts w:ascii="Times New Roman" w:hAnsi="Times New Roman"/>
                      <w:color w:val="000000"/>
                      <w:sz w:val="20"/>
                      <w:szCs w:val="20"/>
                    </w:rPr>
                    <w:t>30-</w:t>
                  </w:r>
                  <w:r w:rsidRPr="000D2B7D">
                    <w:rPr>
                      <w:rFonts w:ascii="Times New Roman" w:hAnsi="Times New Roman"/>
                      <w:color w:val="000000"/>
                      <w:sz w:val="20"/>
                      <w:szCs w:val="20"/>
                    </w:rPr>
                    <w:t xml:space="preserve">36 </w:t>
                  </w:r>
                </w:p>
              </w:tc>
            </w:tr>
          </w:tbl>
          <w:p w14:paraId="3E0D10D7" w14:textId="3B06E913" w:rsidR="00ED76CF" w:rsidRDefault="00ED76CF" w:rsidP="001C2DC5">
            <w:pPr>
              <w:tabs>
                <w:tab w:val="left" w:pos="1800"/>
              </w:tabs>
              <w:autoSpaceDE w:val="0"/>
              <w:autoSpaceDN w:val="0"/>
              <w:adjustRightInd w:val="0"/>
              <w:rPr>
                <w:rFonts w:ascii="Times New Roman" w:hAnsi="Times New Roman"/>
              </w:rPr>
            </w:pPr>
          </w:p>
        </w:tc>
        <w:tc>
          <w:tcPr>
            <w:tcW w:w="3203" w:type="dxa"/>
          </w:tcPr>
          <w:p w14:paraId="4F857DEE" w14:textId="77777777" w:rsidR="00EB76B2" w:rsidRPr="00EB76B2" w:rsidRDefault="00EB76B2" w:rsidP="00EB76B2">
            <w:pPr>
              <w:autoSpaceDE w:val="0"/>
              <w:autoSpaceDN w:val="0"/>
              <w:adjustRightInd w:val="0"/>
              <w:rPr>
                <w:rFonts w:ascii="Times New Roman" w:hAnsi="Times New Roman"/>
                <w:color w:val="000000"/>
              </w:rPr>
            </w:pPr>
            <w:r w:rsidRPr="00EB76B2">
              <w:rPr>
                <w:rFonts w:ascii="Times New Roman" w:hAnsi="Times New Roman"/>
                <w:color w:val="000000"/>
              </w:rPr>
              <w:t>Florida statute calls this a tenancy without specific term. Tenancies at will may be written or oral agreements. All the duties and obligations of a landlord-tenant relationship exist in a tenancy at will, and notice of termination is required by either party. Notice for</w:t>
            </w:r>
          </w:p>
          <w:p w14:paraId="4F3D0008" w14:textId="77777777" w:rsidR="00EB76B2" w:rsidRPr="00EB76B2" w:rsidRDefault="00EB76B2" w:rsidP="00EB76B2">
            <w:pPr>
              <w:autoSpaceDE w:val="0"/>
              <w:autoSpaceDN w:val="0"/>
              <w:adjustRightInd w:val="0"/>
              <w:rPr>
                <w:rFonts w:ascii="Times New Roman" w:hAnsi="Times New Roman"/>
                <w:color w:val="000000"/>
              </w:rPr>
            </w:pPr>
            <w:r w:rsidRPr="00EB76B2">
              <w:rPr>
                <w:rFonts w:ascii="Times New Roman" w:hAnsi="Times New Roman"/>
                <w:color w:val="000000"/>
              </w:rPr>
              <w:lastRenderedPageBreak/>
              <w:t>termination of tenancies at will is set in statute and is based on the time interval between</w:t>
            </w:r>
          </w:p>
          <w:p w14:paraId="7237144F" w14:textId="77777777" w:rsidR="00EB76B2" w:rsidRPr="00EB76B2" w:rsidRDefault="00EB76B2" w:rsidP="00EB76B2">
            <w:pPr>
              <w:autoSpaceDE w:val="0"/>
              <w:autoSpaceDN w:val="0"/>
              <w:adjustRightInd w:val="0"/>
              <w:rPr>
                <w:rFonts w:ascii="Times New Roman" w:hAnsi="Times New Roman"/>
                <w:color w:val="000000"/>
              </w:rPr>
            </w:pPr>
            <w:r w:rsidRPr="00EB76B2">
              <w:rPr>
                <w:rFonts w:ascii="Times New Roman" w:hAnsi="Times New Roman"/>
                <w:color w:val="000000"/>
              </w:rPr>
              <w:t>rent payments:</w:t>
            </w:r>
          </w:p>
          <w:p w14:paraId="46131FFF" w14:textId="77777777" w:rsidR="00EB76B2" w:rsidRPr="00EB76B2" w:rsidRDefault="00EB76B2" w:rsidP="00EB76B2">
            <w:pPr>
              <w:autoSpaceDE w:val="0"/>
              <w:autoSpaceDN w:val="0"/>
              <w:adjustRightInd w:val="0"/>
              <w:rPr>
                <w:rFonts w:ascii="Times New Roman" w:hAnsi="Times New Roman"/>
                <w:color w:val="000000"/>
              </w:rPr>
            </w:pPr>
            <w:r w:rsidRPr="00EB76B2">
              <w:rPr>
                <w:rFonts w:ascii="Times New Roman" w:hAnsi="Times New Roman"/>
                <w:color w:val="000000"/>
              </w:rPr>
              <w:t>■ Week to week—7 days’ notice</w:t>
            </w:r>
          </w:p>
          <w:p w14:paraId="164BCE2B" w14:textId="66BF58DE" w:rsidR="00ED76CF" w:rsidRPr="00B20D6C" w:rsidRDefault="00EB76B2" w:rsidP="00EB76B2">
            <w:pPr>
              <w:tabs>
                <w:tab w:val="left" w:pos="1800"/>
              </w:tabs>
              <w:autoSpaceDE w:val="0"/>
              <w:autoSpaceDN w:val="0"/>
              <w:adjustRightInd w:val="0"/>
              <w:rPr>
                <w:rFonts w:ascii="Times New Roman" w:hAnsi="Times New Roman"/>
              </w:rPr>
            </w:pPr>
            <w:r w:rsidRPr="00EB76B2">
              <w:rPr>
                <w:rFonts w:ascii="Times New Roman" w:hAnsi="Times New Roman"/>
                <w:color w:val="000000"/>
              </w:rPr>
              <w:t>■ Month to month—15 days’ notice</w:t>
            </w:r>
          </w:p>
        </w:tc>
        <w:tc>
          <w:tcPr>
            <w:tcW w:w="3193" w:type="dxa"/>
          </w:tcPr>
          <w:p w14:paraId="35D30E9F" w14:textId="77777777" w:rsidR="00EB76B2" w:rsidRPr="00EB76B2" w:rsidRDefault="00EB76B2" w:rsidP="00EB76B2">
            <w:pPr>
              <w:autoSpaceDE w:val="0"/>
              <w:autoSpaceDN w:val="0"/>
              <w:adjustRightInd w:val="0"/>
              <w:rPr>
                <w:rFonts w:ascii="Times New Roman" w:hAnsi="Times New Roman"/>
                <w:color w:val="000000"/>
              </w:rPr>
            </w:pPr>
            <w:r w:rsidRPr="00EB76B2">
              <w:rPr>
                <w:rFonts w:ascii="Times New Roman" w:hAnsi="Times New Roman"/>
                <w:color w:val="000000"/>
              </w:rPr>
              <w:lastRenderedPageBreak/>
              <w:t xml:space="preserve">Florida statute calls this a tenancy without a specific </w:t>
            </w:r>
            <w:r w:rsidRPr="00EB76B2">
              <w:rPr>
                <w:rFonts w:ascii="Times New Roman" w:hAnsi="Times New Roman"/>
                <w:color w:val="000000"/>
                <w:u w:val="single"/>
              </w:rPr>
              <w:t>duration</w:t>
            </w:r>
            <w:r w:rsidRPr="00EB76B2">
              <w:rPr>
                <w:rFonts w:ascii="Times New Roman" w:hAnsi="Times New Roman"/>
                <w:color w:val="000000"/>
              </w:rPr>
              <w:t>. Tenancies at will may be written or oral agreements. All the duties and obligations of a landlord-tenant relationship exist in a tenancy at will, and either party requires notice of termination.</w:t>
            </w:r>
          </w:p>
          <w:p w14:paraId="7CE4A95F" w14:textId="77777777" w:rsidR="00EB76B2" w:rsidRPr="00EB76B2" w:rsidRDefault="00EB76B2" w:rsidP="00EB76B2">
            <w:pPr>
              <w:autoSpaceDE w:val="0"/>
              <w:autoSpaceDN w:val="0"/>
              <w:adjustRightInd w:val="0"/>
              <w:rPr>
                <w:rFonts w:ascii="Times New Roman" w:hAnsi="Times New Roman"/>
                <w:color w:val="000000"/>
                <w:u w:val="single"/>
              </w:rPr>
            </w:pPr>
            <w:r w:rsidRPr="00EB76B2">
              <w:rPr>
                <w:rFonts w:ascii="Times New Roman" w:hAnsi="Times New Roman"/>
                <w:color w:val="000000"/>
                <w:u w:val="single"/>
              </w:rPr>
              <w:lastRenderedPageBreak/>
              <w:t>A specific duration rental agreement may include provisions requiring the tenant to notify the landlord of vacating the premises at the end of the contract by a specified period before vacating. It may also include a provision for the landlord to give notice of nonrenewal by a specified time. The law</w:t>
            </w:r>
            <w:r w:rsidRPr="00EB76B2">
              <w:rPr>
                <w:rFonts w:ascii="Times New Roman" w:hAnsi="Times New Roman"/>
                <w:color w:val="000000"/>
              </w:rPr>
              <w:t xml:space="preserve"> </w:t>
            </w:r>
            <w:r w:rsidRPr="00EB76B2">
              <w:rPr>
                <w:rFonts w:ascii="Times New Roman" w:hAnsi="Times New Roman"/>
                <w:color w:val="000000"/>
                <w:u w:val="single"/>
              </w:rPr>
              <w:t>requires these notices to be at least 30 days but at most 60 days before the end of the existing rental agreement.</w:t>
            </w:r>
          </w:p>
          <w:p w14:paraId="7530F4BA" w14:textId="6B42A9E1" w:rsidR="00ED76CF" w:rsidRDefault="00EB76B2" w:rsidP="00EB76B2">
            <w:pPr>
              <w:tabs>
                <w:tab w:val="left" w:pos="1800"/>
              </w:tabs>
              <w:autoSpaceDE w:val="0"/>
              <w:autoSpaceDN w:val="0"/>
              <w:adjustRightInd w:val="0"/>
              <w:rPr>
                <w:rFonts w:ascii="Times New Roman" w:hAnsi="Times New Roman"/>
              </w:rPr>
            </w:pPr>
            <w:r w:rsidRPr="00EB76B2">
              <w:rPr>
                <w:rFonts w:ascii="Times New Roman" w:hAnsi="Times New Roman"/>
                <w:color w:val="000000"/>
                <w:u w:val="single"/>
              </w:rPr>
              <w:t>*added s. 83.575 F.S. to legal reference box</w:t>
            </w:r>
          </w:p>
        </w:tc>
      </w:tr>
      <w:tr w:rsidR="0058467B" w:rsidRPr="00B261C9" w14:paraId="3596BE24" w14:textId="77777777" w:rsidTr="00EB76B2">
        <w:trPr>
          <w:trHeight w:val="150"/>
        </w:trPr>
        <w:tc>
          <w:tcPr>
            <w:tcW w:w="3358" w:type="dxa"/>
          </w:tcPr>
          <w:p w14:paraId="30E5D215" w14:textId="2FB3D011" w:rsidR="0058467B" w:rsidRPr="000D2B7D" w:rsidRDefault="00EB76B2" w:rsidP="001C2DC5">
            <w:pPr>
              <w:autoSpaceDE w:val="0"/>
              <w:autoSpaceDN w:val="0"/>
              <w:adjustRightInd w:val="0"/>
              <w:rPr>
                <w:rFonts w:ascii="Times New Roman" w:hAnsi="Times New Roman"/>
                <w:color w:val="000000"/>
              </w:rPr>
            </w:pPr>
            <w:r>
              <w:rPr>
                <w:rFonts w:ascii="Times New Roman" w:hAnsi="Times New Roman"/>
                <w:color w:val="000000"/>
              </w:rPr>
              <w:lastRenderedPageBreak/>
              <w:t>Pg. 190, Unit 8, PQ17</w:t>
            </w:r>
          </w:p>
        </w:tc>
        <w:tc>
          <w:tcPr>
            <w:tcW w:w="3203" w:type="dxa"/>
          </w:tcPr>
          <w:p w14:paraId="7BB930D0" w14:textId="3A29523D" w:rsidR="0058467B" w:rsidRPr="000D2B7D" w:rsidRDefault="00F92602" w:rsidP="001C2DC5">
            <w:pPr>
              <w:tabs>
                <w:tab w:val="left" w:pos="1800"/>
              </w:tabs>
              <w:autoSpaceDE w:val="0"/>
              <w:autoSpaceDN w:val="0"/>
              <w:adjustRightInd w:val="0"/>
              <w:rPr>
                <w:rFonts w:ascii="Times New Roman" w:hAnsi="Times New Roman"/>
              </w:rPr>
            </w:pPr>
            <w:r w:rsidRPr="00F92602">
              <w:rPr>
                <w:rFonts w:ascii="Times New Roman" w:hAnsi="Times New Roman"/>
                <w:color w:val="000000"/>
              </w:rPr>
              <w:t>List the number of days’ notice to vacate that a tenant at will must be given, based on rent payment time intervals 1. Week to week: 2. Month to month</w:t>
            </w:r>
          </w:p>
        </w:tc>
        <w:tc>
          <w:tcPr>
            <w:tcW w:w="3193" w:type="dxa"/>
          </w:tcPr>
          <w:p w14:paraId="0A929CD1" w14:textId="51C2E783" w:rsidR="0058467B" w:rsidRPr="001C2DC5" w:rsidRDefault="00F92602" w:rsidP="001C2DC5">
            <w:pPr>
              <w:autoSpaceDE w:val="0"/>
              <w:autoSpaceDN w:val="0"/>
              <w:adjustRightInd w:val="0"/>
              <w:rPr>
                <w:rFonts w:ascii="Times New Roman" w:hAnsi="Times New Roman"/>
                <w:color w:val="000000"/>
              </w:rPr>
            </w:pPr>
            <w:r w:rsidRPr="00F92602">
              <w:rPr>
                <w:rFonts w:ascii="Times New Roman" w:hAnsi="Times New Roman"/>
                <w:color w:val="000000"/>
              </w:rPr>
              <w:t>A rental agreement with no provision for the duration of the tenancy is a representation of _________ at ______.</w:t>
            </w:r>
          </w:p>
        </w:tc>
      </w:tr>
      <w:tr w:rsidR="00EB76B2" w:rsidRPr="00B261C9" w14:paraId="28D4B542" w14:textId="77777777" w:rsidTr="00EB76B2">
        <w:trPr>
          <w:trHeight w:val="150"/>
        </w:trPr>
        <w:tc>
          <w:tcPr>
            <w:tcW w:w="3358" w:type="dxa"/>
          </w:tcPr>
          <w:p w14:paraId="7BEFF327" w14:textId="018D28AE" w:rsidR="00EB76B2" w:rsidRDefault="00EB76B2" w:rsidP="00EB76B2">
            <w:pPr>
              <w:autoSpaceDE w:val="0"/>
              <w:autoSpaceDN w:val="0"/>
              <w:adjustRightInd w:val="0"/>
              <w:rPr>
                <w:rFonts w:ascii="Times New Roman" w:hAnsi="Times New Roman"/>
                <w:color w:val="000000"/>
              </w:rPr>
            </w:pPr>
            <w:r>
              <w:rPr>
                <w:rFonts w:ascii="Times New Roman" w:hAnsi="Times New Roman"/>
                <w:color w:val="000000"/>
              </w:rPr>
              <w:t>P381, PQ23</w:t>
            </w:r>
          </w:p>
        </w:tc>
        <w:tc>
          <w:tcPr>
            <w:tcW w:w="3203" w:type="dxa"/>
          </w:tcPr>
          <w:p w14:paraId="3F502630" w14:textId="1F5E5728" w:rsidR="00EB76B2" w:rsidRDefault="00EB76B2" w:rsidP="00EB76B2">
            <w:pPr>
              <w:tabs>
                <w:tab w:val="left" w:pos="1800"/>
              </w:tabs>
              <w:autoSpaceDE w:val="0"/>
              <w:autoSpaceDN w:val="0"/>
              <w:adjustRightInd w:val="0"/>
              <w:rPr>
                <w:rFonts w:ascii="Times New Roman" w:hAnsi="Times New Roman"/>
              </w:rPr>
            </w:pPr>
            <w:r>
              <w:rPr>
                <w:rFonts w:ascii="Times New Roman" w:hAnsi="Times New Roman"/>
              </w:rPr>
              <w:t>What is the capitalization rate for this property?</w:t>
            </w:r>
          </w:p>
        </w:tc>
        <w:tc>
          <w:tcPr>
            <w:tcW w:w="3193" w:type="dxa"/>
          </w:tcPr>
          <w:p w14:paraId="00D5E592" w14:textId="01425900" w:rsidR="00EB76B2" w:rsidRDefault="00EB76B2" w:rsidP="00EB76B2">
            <w:pPr>
              <w:autoSpaceDE w:val="0"/>
              <w:autoSpaceDN w:val="0"/>
              <w:adjustRightInd w:val="0"/>
              <w:rPr>
                <w:rFonts w:ascii="Times New Roman" w:hAnsi="Times New Roman"/>
                <w:color w:val="000000"/>
              </w:rPr>
            </w:pPr>
            <w:r>
              <w:rPr>
                <w:rFonts w:ascii="Times New Roman" w:hAnsi="Times New Roman"/>
                <w:color w:val="000000"/>
              </w:rPr>
              <w:t xml:space="preserve">What is the </w:t>
            </w:r>
            <w:r w:rsidRPr="0058467B">
              <w:rPr>
                <w:rFonts w:ascii="Times New Roman" w:hAnsi="Times New Roman"/>
                <w:color w:val="FF0000"/>
              </w:rPr>
              <w:t xml:space="preserve">value of </w:t>
            </w:r>
            <w:r>
              <w:rPr>
                <w:rFonts w:ascii="Times New Roman" w:hAnsi="Times New Roman"/>
                <w:color w:val="000000"/>
              </w:rPr>
              <w:t>this property?</w:t>
            </w:r>
          </w:p>
        </w:tc>
      </w:tr>
      <w:tr w:rsidR="00DF6221" w:rsidRPr="00B261C9" w14:paraId="2F40ED66" w14:textId="77777777" w:rsidTr="00EB76B2">
        <w:trPr>
          <w:trHeight w:val="150"/>
        </w:trPr>
        <w:tc>
          <w:tcPr>
            <w:tcW w:w="3358" w:type="dxa"/>
          </w:tcPr>
          <w:p w14:paraId="09EA983B" w14:textId="5A0138F0" w:rsidR="00DF6221" w:rsidRPr="000D2B7D" w:rsidRDefault="0086222E" w:rsidP="00EB76B2">
            <w:pPr>
              <w:autoSpaceDE w:val="0"/>
              <w:autoSpaceDN w:val="0"/>
              <w:adjustRightInd w:val="0"/>
              <w:rPr>
                <w:rFonts w:ascii="Times New Roman" w:hAnsi="Times New Roman"/>
                <w:color w:val="000000"/>
              </w:rPr>
            </w:pPr>
            <w:r>
              <w:rPr>
                <w:rFonts w:ascii="Times New Roman" w:hAnsi="Times New Roman"/>
                <w:color w:val="000000"/>
              </w:rPr>
              <w:t>p.410, figure 18.2</w:t>
            </w:r>
          </w:p>
        </w:tc>
        <w:tc>
          <w:tcPr>
            <w:tcW w:w="3203" w:type="dxa"/>
          </w:tcPr>
          <w:p w14:paraId="6A329E38" w14:textId="77777777"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 xml:space="preserve">Assessed Value of Home </w:t>
            </w:r>
          </w:p>
          <w:p w14:paraId="574DC8D7" w14:textId="681166E0"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Up to $50,000</w:t>
            </w:r>
          </w:p>
          <w:p w14:paraId="7EA47BC2" w14:textId="072CC042"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Over $50,000</w:t>
            </w:r>
          </w:p>
          <w:p w14:paraId="48B15310" w14:textId="0EF7E661"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 xml:space="preserve">City/County (Non-School Taxes) </w:t>
            </w:r>
          </w:p>
          <w:p w14:paraId="6E9B329B" w14:textId="5C9B73BD"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exemption</w:t>
            </w:r>
          </w:p>
          <w:p w14:paraId="52B413DE" w14:textId="42574A16" w:rsidR="007F07DE" w:rsidRP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 additional $25,000 = $50,000</w:t>
            </w:r>
            <w:r>
              <w:rPr>
                <w:rFonts w:ascii="UniversLTStd-LightCn" w:hAnsi="UniversLTStd-LightCn" w:cs="UniversLTStd-LightCn"/>
                <w:sz w:val="20"/>
                <w:szCs w:val="20"/>
              </w:rPr>
              <w:t xml:space="preserve"> </w:t>
            </w:r>
            <w:r>
              <w:rPr>
                <w:rFonts w:ascii="UniversLTStd-LightCn" w:hAnsi="UniversLTStd-LightCn" w:cs="UniversLTStd-LightCn"/>
                <w:sz w:val="20"/>
                <w:szCs w:val="20"/>
              </w:rPr>
              <w:t>exemption</w:t>
            </w:r>
            <w:bookmarkStart w:id="0" w:name="_GoBack"/>
            <w:bookmarkEnd w:id="0"/>
          </w:p>
          <w:p w14:paraId="59B11976" w14:textId="3D719015"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School District (School Taxes)</w:t>
            </w:r>
          </w:p>
          <w:p w14:paraId="7A2AB8D4" w14:textId="05F092AE"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exemption</w:t>
            </w:r>
          </w:p>
          <w:p w14:paraId="07DECD7A" w14:textId="2650218A" w:rsidR="00DF6221" w:rsidRPr="000D2B7D" w:rsidRDefault="007F07DE" w:rsidP="007F07DE">
            <w:pPr>
              <w:tabs>
                <w:tab w:val="left" w:pos="1800"/>
              </w:tabs>
              <w:autoSpaceDE w:val="0"/>
              <w:autoSpaceDN w:val="0"/>
              <w:adjustRightInd w:val="0"/>
              <w:rPr>
                <w:rFonts w:ascii="Times New Roman" w:hAnsi="Times New Roman"/>
              </w:rPr>
            </w:pPr>
            <w:r>
              <w:rPr>
                <w:rFonts w:ascii="UniversLTStd-LightCn" w:hAnsi="UniversLTStd-LightCn" w:cs="UniversLTStd-LightCn"/>
                <w:sz w:val="20"/>
                <w:szCs w:val="20"/>
              </w:rPr>
              <w:t>Base $25,000 exemption</w:t>
            </w:r>
          </w:p>
        </w:tc>
        <w:tc>
          <w:tcPr>
            <w:tcW w:w="3193" w:type="dxa"/>
          </w:tcPr>
          <w:p w14:paraId="54CE3B84" w14:textId="77777777" w:rsidR="00DF6221" w:rsidRDefault="007F07DE" w:rsidP="00EB76B2">
            <w:pPr>
              <w:autoSpaceDE w:val="0"/>
              <w:autoSpaceDN w:val="0"/>
              <w:adjustRightInd w:val="0"/>
              <w:rPr>
                <w:rFonts w:ascii="Times New Roman" w:hAnsi="Times New Roman"/>
                <w:color w:val="000000"/>
              </w:rPr>
            </w:pPr>
            <w:r>
              <w:rPr>
                <w:rFonts w:ascii="Times New Roman" w:hAnsi="Times New Roman"/>
                <w:color w:val="000000"/>
              </w:rPr>
              <w:t>Revert to 46E chart:</w:t>
            </w:r>
          </w:p>
          <w:p w14:paraId="074AC5FB" w14:textId="77777777"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Assessed Value of Home</w:t>
            </w:r>
            <w:r>
              <w:rPr>
                <w:rFonts w:ascii="UniversLTStd-BoldCn" w:hAnsi="UniversLTStd-BoldCn" w:cs="UniversLTStd-BoldCn"/>
                <w:b/>
                <w:bCs/>
                <w:sz w:val="20"/>
                <w:szCs w:val="20"/>
              </w:rPr>
              <w:t xml:space="preserve"> </w:t>
            </w:r>
          </w:p>
          <w:p w14:paraId="5A99D3DF" w14:textId="26F7051E"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Under $25,000</w:t>
            </w:r>
          </w:p>
          <w:p w14:paraId="6D8C20F8" w14:textId="26A294DC"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$25,000 to $50,000</w:t>
            </w:r>
          </w:p>
          <w:p w14:paraId="46357B03" w14:textId="1F72C520"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$50,001 to $75,000</w:t>
            </w:r>
          </w:p>
          <w:p w14:paraId="11012FF3" w14:textId="75993027"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Over $75,000 Base</w:t>
            </w:r>
          </w:p>
          <w:p w14:paraId="1FC5BCC7" w14:textId="77777777"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 xml:space="preserve">City/County (Non-School Taxes) </w:t>
            </w:r>
          </w:p>
          <w:p w14:paraId="51C2B100" w14:textId="77777777" w:rsidR="007F07DE" w:rsidRDefault="007F07DE" w:rsidP="007F07DE">
            <w:pPr>
              <w:autoSpaceDE w:val="0"/>
              <w:autoSpaceDN w:val="0"/>
              <w:adjustRightInd w:val="0"/>
              <w:rPr>
                <w:rFonts w:ascii="UniversLTStd-BoldCn" w:hAnsi="UniversLTStd-BoldCn" w:cs="UniversLTStd-BoldCn"/>
                <w:b/>
                <w:bCs/>
                <w:sz w:val="20"/>
                <w:szCs w:val="20"/>
              </w:rPr>
            </w:pPr>
            <w:r>
              <w:rPr>
                <w:rFonts w:ascii="UniversLTStd-LightCn" w:hAnsi="UniversLTStd-LightCn" w:cs="UniversLTStd-LightCn"/>
                <w:sz w:val="20"/>
                <w:szCs w:val="20"/>
              </w:rPr>
              <w:t>Up to the assessed value</w:t>
            </w:r>
            <w:r>
              <w:rPr>
                <w:rFonts w:ascii="UniversLTStd-BoldCn" w:hAnsi="UniversLTStd-BoldCn" w:cs="UniversLTStd-BoldCn"/>
                <w:b/>
                <w:bCs/>
                <w:sz w:val="20"/>
                <w:szCs w:val="20"/>
              </w:rPr>
              <w:t xml:space="preserve"> </w:t>
            </w:r>
          </w:p>
          <w:p w14:paraId="6B2858A3" w14:textId="0DE180F0" w:rsidR="007F07DE" w:rsidRDefault="007F07DE" w:rsidP="007F07DE">
            <w:pPr>
              <w:autoSpaceDE w:val="0"/>
              <w:autoSpaceDN w:val="0"/>
              <w:adjustRightInd w:val="0"/>
              <w:rPr>
                <w:rFonts w:ascii="UniversLTStd-BoldCn" w:hAnsi="UniversLTStd-BoldCn" w:cs="UniversLTStd-BoldCn"/>
                <w:b/>
                <w:bCs/>
                <w:sz w:val="20"/>
                <w:szCs w:val="20"/>
              </w:rPr>
            </w:pPr>
            <w:r>
              <w:rPr>
                <w:rFonts w:ascii="UniversLTStd-LightCn" w:hAnsi="UniversLTStd-LightCn" w:cs="UniversLTStd-LightCn"/>
                <w:sz w:val="20"/>
                <w:szCs w:val="20"/>
              </w:rPr>
              <w:t>Base $25,000 exemption</w:t>
            </w:r>
            <w:r>
              <w:rPr>
                <w:rFonts w:ascii="UniversLTStd-BoldCn" w:hAnsi="UniversLTStd-BoldCn" w:cs="UniversLTStd-BoldCn"/>
                <w:b/>
                <w:bCs/>
                <w:sz w:val="20"/>
                <w:szCs w:val="20"/>
              </w:rPr>
              <w:t xml:space="preserve"> </w:t>
            </w:r>
          </w:p>
          <w:p w14:paraId="0059063E" w14:textId="7D28DC3D"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exemption + prorated additional</w:t>
            </w:r>
            <w:r>
              <w:rPr>
                <w:rFonts w:ascii="UniversLTStd-LightCn" w:hAnsi="UniversLTStd-LightCn" w:cs="UniversLTStd-LightCn"/>
                <w:sz w:val="20"/>
                <w:szCs w:val="20"/>
              </w:rPr>
              <w:t xml:space="preserve"> </w:t>
            </w:r>
            <w:r>
              <w:rPr>
                <w:rFonts w:ascii="UniversLTStd-LightCn" w:hAnsi="UniversLTStd-LightCn" w:cs="UniversLTStd-LightCn"/>
                <w:sz w:val="20"/>
                <w:szCs w:val="20"/>
              </w:rPr>
              <w:t>exemption</w:t>
            </w:r>
          </w:p>
          <w:p w14:paraId="23961CA7" w14:textId="27A71B21"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$25,000 exemption + additional $25,000</w:t>
            </w:r>
            <w:r>
              <w:rPr>
                <w:rFonts w:ascii="UniversLTStd-LightCn" w:hAnsi="UniversLTStd-LightCn" w:cs="UniversLTStd-LightCn"/>
                <w:sz w:val="20"/>
                <w:szCs w:val="20"/>
              </w:rPr>
              <w:t xml:space="preserve"> </w:t>
            </w:r>
            <w:r>
              <w:rPr>
                <w:rFonts w:ascii="UniversLTStd-LightCn" w:hAnsi="UniversLTStd-LightCn" w:cs="UniversLTStd-LightCn"/>
                <w:sz w:val="20"/>
                <w:szCs w:val="20"/>
              </w:rPr>
              <w:t>exemption</w:t>
            </w:r>
          </w:p>
          <w:p w14:paraId="1F1C2126" w14:textId="77777777" w:rsidR="007F07DE" w:rsidRDefault="007F07DE" w:rsidP="007F07DE">
            <w:pPr>
              <w:autoSpaceDE w:val="0"/>
              <w:autoSpaceDN w:val="0"/>
              <w:adjustRightInd w:val="0"/>
              <w:rPr>
                <w:rFonts w:ascii="UniversLTStd-BoldCn" w:hAnsi="UniversLTStd-BoldCn" w:cs="UniversLTStd-BoldCn"/>
                <w:b/>
                <w:bCs/>
                <w:sz w:val="20"/>
                <w:szCs w:val="20"/>
              </w:rPr>
            </w:pPr>
          </w:p>
          <w:p w14:paraId="6422705A" w14:textId="68179126" w:rsidR="007F07DE" w:rsidRDefault="007F07DE" w:rsidP="007F07DE">
            <w:pPr>
              <w:autoSpaceDE w:val="0"/>
              <w:autoSpaceDN w:val="0"/>
              <w:adjustRightInd w:val="0"/>
              <w:rPr>
                <w:rFonts w:ascii="UniversLTStd-BoldCn" w:hAnsi="UniversLTStd-BoldCn" w:cs="UniversLTStd-BoldCn"/>
                <w:b/>
                <w:bCs/>
                <w:sz w:val="20"/>
                <w:szCs w:val="20"/>
              </w:rPr>
            </w:pPr>
            <w:r>
              <w:rPr>
                <w:rFonts w:ascii="UniversLTStd-BoldCn" w:hAnsi="UniversLTStd-BoldCn" w:cs="UniversLTStd-BoldCn"/>
                <w:b/>
                <w:bCs/>
                <w:sz w:val="20"/>
                <w:szCs w:val="20"/>
              </w:rPr>
              <w:t>School Board (School Taxes)</w:t>
            </w:r>
          </w:p>
          <w:p w14:paraId="183D2136" w14:textId="7BBB63AE"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Up to the assessed value</w:t>
            </w:r>
          </w:p>
          <w:p w14:paraId="7C2FD966" w14:textId="297168B8"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exemption</w:t>
            </w:r>
          </w:p>
          <w:p w14:paraId="1D1622C8" w14:textId="77777777" w:rsidR="007F07DE" w:rsidRDefault="007F07DE" w:rsidP="007F07DE">
            <w:pPr>
              <w:autoSpaceDE w:val="0"/>
              <w:autoSpaceDN w:val="0"/>
              <w:adjustRightInd w:val="0"/>
              <w:rPr>
                <w:rFonts w:ascii="UniversLTStd-LightCn" w:hAnsi="UniversLTStd-LightCn" w:cs="UniversLTStd-LightCn"/>
                <w:sz w:val="20"/>
                <w:szCs w:val="20"/>
              </w:rPr>
            </w:pPr>
            <w:r>
              <w:rPr>
                <w:rFonts w:ascii="UniversLTStd-LightCn" w:hAnsi="UniversLTStd-LightCn" w:cs="UniversLTStd-LightCn"/>
                <w:sz w:val="20"/>
                <w:szCs w:val="20"/>
              </w:rPr>
              <w:t>Base $25,000 exemption</w:t>
            </w:r>
          </w:p>
          <w:p w14:paraId="097D8416" w14:textId="49E34DCA" w:rsidR="007F07DE" w:rsidRPr="001C2DC5" w:rsidRDefault="007F07DE" w:rsidP="007F07DE">
            <w:pPr>
              <w:autoSpaceDE w:val="0"/>
              <w:autoSpaceDN w:val="0"/>
              <w:adjustRightInd w:val="0"/>
              <w:rPr>
                <w:rFonts w:ascii="Times New Roman" w:hAnsi="Times New Roman"/>
                <w:color w:val="000000"/>
              </w:rPr>
            </w:pPr>
            <w:r>
              <w:rPr>
                <w:rFonts w:ascii="UniversLTStd-LightCn" w:hAnsi="UniversLTStd-LightCn" w:cs="UniversLTStd-LightCn"/>
                <w:sz w:val="20"/>
                <w:szCs w:val="20"/>
              </w:rPr>
              <w:t>Base $25,000 exemption</w:t>
            </w:r>
          </w:p>
        </w:tc>
      </w:tr>
      <w:tr w:rsidR="00DF6221" w:rsidRPr="00B261C9" w14:paraId="6FBFC0E8" w14:textId="77777777" w:rsidTr="00EB76B2">
        <w:trPr>
          <w:trHeight w:val="150"/>
        </w:trPr>
        <w:tc>
          <w:tcPr>
            <w:tcW w:w="3358" w:type="dxa"/>
          </w:tcPr>
          <w:p w14:paraId="5211A9C7" w14:textId="1D96AD51" w:rsidR="00DF6221" w:rsidRPr="000D2B7D" w:rsidRDefault="0086222E" w:rsidP="00EB76B2">
            <w:pPr>
              <w:autoSpaceDE w:val="0"/>
              <w:autoSpaceDN w:val="0"/>
              <w:adjustRightInd w:val="0"/>
              <w:rPr>
                <w:rFonts w:ascii="Times New Roman" w:hAnsi="Times New Roman"/>
                <w:color w:val="000000"/>
              </w:rPr>
            </w:pPr>
            <w:r>
              <w:rPr>
                <w:rFonts w:ascii="Times New Roman" w:hAnsi="Times New Roman"/>
                <w:color w:val="000000"/>
              </w:rPr>
              <w:t>p.425</w:t>
            </w:r>
          </w:p>
        </w:tc>
        <w:tc>
          <w:tcPr>
            <w:tcW w:w="3203" w:type="dxa"/>
          </w:tcPr>
          <w:p w14:paraId="3FAD76D2" w14:textId="77777777" w:rsidR="0086222E" w:rsidRDefault="0086222E" w:rsidP="0086222E">
            <w:pPr>
              <w:autoSpaceDE w:val="0"/>
              <w:autoSpaceDN w:val="0"/>
              <w:adjustRightInd w:val="0"/>
              <w:rPr>
                <w:rFonts w:ascii="GoudyStd" w:hAnsi="GoudyStd" w:cs="GoudyStd"/>
                <w:sz w:val="22"/>
                <w:szCs w:val="22"/>
              </w:rPr>
            </w:pPr>
            <w:r>
              <w:rPr>
                <w:rFonts w:ascii="GoudyStd" w:hAnsi="GoudyStd" w:cs="GoudyStd"/>
                <w:sz w:val="22"/>
                <w:szCs w:val="22"/>
              </w:rPr>
              <w:t>Homesteaded properties with an assessed value</w:t>
            </w:r>
          </w:p>
          <w:p w14:paraId="7CB43119" w14:textId="77777777" w:rsidR="0086222E" w:rsidRDefault="0086222E" w:rsidP="0086222E">
            <w:pPr>
              <w:autoSpaceDE w:val="0"/>
              <w:autoSpaceDN w:val="0"/>
              <w:adjustRightInd w:val="0"/>
              <w:rPr>
                <w:rFonts w:ascii="GoudyStd" w:hAnsi="GoudyStd" w:cs="GoudyStd"/>
                <w:sz w:val="22"/>
                <w:szCs w:val="22"/>
              </w:rPr>
            </w:pPr>
            <w:r>
              <w:rPr>
                <w:rFonts w:ascii="GoudyStd" w:hAnsi="GoudyStd" w:cs="GoudyStd"/>
                <w:sz w:val="22"/>
                <w:szCs w:val="22"/>
              </w:rPr>
              <w:t>greater than $</w:t>
            </w:r>
            <w:r w:rsidRPr="0086222E">
              <w:rPr>
                <w:rFonts w:ascii="GoudyStd" w:hAnsi="GoudyStd" w:cs="GoudyStd"/>
                <w:color w:val="FF0000"/>
                <w:sz w:val="22"/>
                <w:szCs w:val="22"/>
              </w:rPr>
              <w:t>50</w:t>
            </w:r>
            <w:r>
              <w:rPr>
                <w:rFonts w:ascii="GoudyStd" w:hAnsi="GoudyStd" w:cs="GoudyStd"/>
                <w:sz w:val="22"/>
                <w:szCs w:val="22"/>
              </w:rPr>
              <w:t>,000 are entitled to an additional $25,000 homestead exemption</w:t>
            </w:r>
          </w:p>
          <w:p w14:paraId="0AAB2418" w14:textId="27CC91FB" w:rsidR="00DF6221" w:rsidRPr="000D2B7D" w:rsidRDefault="0086222E" w:rsidP="0086222E">
            <w:pPr>
              <w:tabs>
                <w:tab w:val="left" w:pos="1800"/>
              </w:tabs>
              <w:autoSpaceDE w:val="0"/>
              <w:autoSpaceDN w:val="0"/>
              <w:adjustRightInd w:val="0"/>
              <w:rPr>
                <w:rFonts w:ascii="Times New Roman" w:hAnsi="Times New Roman"/>
              </w:rPr>
            </w:pPr>
            <w:r>
              <w:rPr>
                <w:rFonts w:ascii="GoudyStd" w:hAnsi="GoudyStd" w:cs="GoudyStd"/>
                <w:sz w:val="22"/>
                <w:szCs w:val="22"/>
              </w:rPr>
              <w:lastRenderedPageBreak/>
              <w:t>from city and county taxes (but not school board taxes).</w:t>
            </w:r>
          </w:p>
        </w:tc>
        <w:tc>
          <w:tcPr>
            <w:tcW w:w="3193" w:type="dxa"/>
          </w:tcPr>
          <w:p w14:paraId="6B76355B" w14:textId="77777777" w:rsidR="0086222E" w:rsidRDefault="0086222E" w:rsidP="0086222E">
            <w:pPr>
              <w:autoSpaceDE w:val="0"/>
              <w:autoSpaceDN w:val="0"/>
              <w:adjustRightInd w:val="0"/>
              <w:rPr>
                <w:rFonts w:ascii="GoudyStd" w:hAnsi="GoudyStd" w:cs="GoudyStd"/>
                <w:sz w:val="22"/>
                <w:szCs w:val="22"/>
              </w:rPr>
            </w:pPr>
            <w:r>
              <w:rPr>
                <w:rFonts w:ascii="GoudyStd" w:hAnsi="GoudyStd" w:cs="GoudyStd"/>
                <w:sz w:val="22"/>
                <w:szCs w:val="22"/>
              </w:rPr>
              <w:lastRenderedPageBreak/>
              <w:t>Homesteaded properties with an assessed value</w:t>
            </w:r>
          </w:p>
          <w:p w14:paraId="30E9D880" w14:textId="11F329E0" w:rsidR="0086222E" w:rsidRDefault="0086222E" w:rsidP="0086222E">
            <w:pPr>
              <w:autoSpaceDE w:val="0"/>
              <w:autoSpaceDN w:val="0"/>
              <w:adjustRightInd w:val="0"/>
              <w:rPr>
                <w:rFonts w:ascii="GoudyStd" w:hAnsi="GoudyStd" w:cs="GoudyStd"/>
                <w:sz w:val="22"/>
                <w:szCs w:val="22"/>
              </w:rPr>
            </w:pPr>
            <w:r>
              <w:rPr>
                <w:rFonts w:ascii="GoudyStd" w:hAnsi="GoudyStd" w:cs="GoudyStd"/>
                <w:sz w:val="22"/>
                <w:szCs w:val="22"/>
              </w:rPr>
              <w:t>greater than $</w:t>
            </w:r>
            <w:r>
              <w:rPr>
                <w:rFonts w:ascii="GoudyStd" w:hAnsi="GoudyStd" w:cs="GoudyStd"/>
                <w:color w:val="FF0000"/>
                <w:sz w:val="22"/>
                <w:szCs w:val="22"/>
              </w:rPr>
              <w:t>75</w:t>
            </w:r>
            <w:r>
              <w:rPr>
                <w:rFonts w:ascii="GoudyStd" w:hAnsi="GoudyStd" w:cs="GoudyStd"/>
                <w:sz w:val="22"/>
                <w:szCs w:val="22"/>
              </w:rPr>
              <w:t>,000 are entitled to an additional $25,000 homestead exemption</w:t>
            </w:r>
          </w:p>
          <w:p w14:paraId="6294564D" w14:textId="16236478" w:rsidR="00DF6221" w:rsidRPr="001C2DC5" w:rsidRDefault="0086222E" w:rsidP="0086222E">
            <w:pPr>
              <w:autoSpaceDE w:val="0"/>
              <w:autoSpaceDN w:val="0"/>
              <w:adjustRightInd w:val="0"/>
              <w:rPr>
                <w:rFonts w:ascii="Times New Roman" w:hAnsi="Times New Roman"/>
                <w:color w:val="000000"/>
              </w:rPr>
            </w:pPr>
            <w:r>
              <w:rPr>
                <w:rFonts w:ascii="GoudyStd" w:hAnsi="GoudyStd" w:cs="GoudyStd"/>
                <w:sz w:val="22"/>
                <w:szCs w:val="22"/>
              </w:rPr>
              <w:lastRenderedPageBreak/>
              <w:t>from city and county taxes (but not school board taxes).</w:t>
            </w:r>
          </w:p>
        </w:tc>
      </w:tr>
      <w:tr w:rsidR="00EB76B2" w:rsidRPr="00B261C9" w14:paraId="41F17FCF" w14:textId="77777777" w:rsidTr="00EB76B2">
        <w:trPr>
          <w:trHeight w:val="150"/>
        </w:trPr>
        <w:tc>
          <w:tcPr>
            <w:tcW w:w="3358" w:type="dxa"/>
          </w:tcPr>
          <w:p w14:paraId="44D419B8" w14:textId="77777777" w:rsidR="00EB76B2" w:rsidRPr="000D2B7D" w:rsidRDefault="00EB76B2" w:rsidP="00EB76B2">
            <w:pPr>
              <w:autoSpaceDE w:val="0"/>
              <w:autoSpaceDN w:val="0"/>
              <w:adjustRightInd w:val="0"/>
              <w:rPr>
                <w:rFonts w:ascii="Times New Roman" w:hAnsi="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EB76B2" w:rsidRPr="000D2B7D" w14:paraId="2F5CD001" w14:textId="77777777">
              <w:trPr>
                <w:trHeight w:val="366"/>
              </w:trPr>
              <w:tc>
                <w:tcPr>
                  <w:tcW w:w="9579" w:type="dxa"/>
                </w:tcPr>
                <w:p w14:paraId="17EB716D" w14:textId="77777777" w:rsidR="00EB76B2" w:rsidRPr="000D2B7D" w:rsidRDefault="00EB76B2"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rPr>
                    <w:t xml:space="preserve"> </w:t>
                  </w:r>
                  <w:r w:rsidRPr="000D2B7D">
                    <w:rPr>
                      <w:rFonts w:ascii="Times New Roman" w:hAnsi="Times New Roman"/>
                      <w:color w:val="000000"/>
                      <w:sz w:val="20"/>
                      <w:szCs w:val="20"/>
                    </w:rPr>
                    <w:t xml:space="preserve">Pg. 500, Answer Key, Unit 8, </w:t>
                  </w:r>
                </w:p>
                <w:p w14:paraId="3E6B244F" w14:textId="77777777" w:rsidR="00EB76B2" w:rsidRPr="000D2B7D" w:rsidRDefault="00EB76B2"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0D2B7D">
                    <w:rPr>
                      <w:rFonts w:ascii="Times New Roman" w:hAnsi="Times New Roman"/>
                      <w:color w:val="000000"/>
                      <w:sz w:val="20"/>
                      <w:szCs w:val="20"/>
                    </w:rPr>
                    <w:t xml:space="preserve">PQ 17 </w:t>
                  </w:r>
                </w:p>
              </w:tc>
            </w:tr>
          </w:tbl>
          <w:p w14:paraId="4DD00433" w14:textId="110B42AF" w:rsidR="00EB76B2" w:rsidRDefault="00EB76B2" w:rsidP="00EB76B2">
            <w:pPr>
              <w:tabs>
                <w:tab w:val="left" w:pos="1800"/>
              </w:tabs>
              <w:autoSpaceDE w:val="0"/>
              <w:autoSpaceDN w:val="0"/>
              <w:adjustRightInd w:val="0"/>
              <w:rPr>
                <w:rFonts w:ascii="Times New Roman" w:hAnsi="Times New Roman"/>
              </w:rPr>
            </w:pPr>
          </w:p>
        </w:tc>
        <w:tc>
          <w:tcPr>
            <w:tcW w:w="3203" w:type="dxa"/>
          </w:tcPr>
          <w:p w14:paraId="403DFC8F" w14:textId="7403C9BD" w:rsidR="00EB76B2" w:rsidRDefault="00EB76B2" w:rsidP="00EB76B2">
            <w:pPr>
              <w:tabs>
                <w:tab w:val="left" w:pos="1800"/>
              </w:tabs>
              <w:autoSpaceDE w:val="0"/>
              <w:autoSpaceDN w:val="0"/>
              <w:adjustRightInd w:val="0"/>
              <w:rPr>
                <w:rFonts w:ascii="Times New Roman" w:hAnsi="Times New Roman"/>
              </w:rPr>
            </w:pPr>
            <w:r w:rsidRPr="000D2B7D">
              <w:rPr>
                <w:rFonts w:ascii="Times New Roman" w:hAnsi="Times New Roman"/>
              </w:rPr>
              <w:t>17. 7 days, 15 days</w:t>
            </w:r>
          </w:p>
        </w:tc>
        <w:tc>
          <w:tcPr>
            <w:tcW w:w="3193" w:type="dxa"/>
          </w:tcPr>
          <w:p w14:paraId="630646B8" w14:textId="77777777" w:rsidR="00EB76B2" w:rsidRPr="001C2DC5" w:rsidRDefault="00EB76B2" w:rsidP="00EB76B2">
            <w:pPr>
              <w:autoSpaceDE w:val="0"/>
              <w:autoSpaceDN w:val="0"/>
              <w:adjustRightInd w:val="0"/>
              <w:rPr>
                <w:rFonts w:ascii="Times New Roman" w:hAnsi="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579"/>
            </w:tblGrid>
            <w:tr w:rsidR="00EB76B2" w:rsidRPr="001C2DC5" w14:paraId="18812ED2" w14:textId="77777777">
              <w:trPr>
                <w:trHeight w:val="135"/>
              </w:trPr>
              <w:tc>
                <w:tcPr>
                  <w:tcW w:w="9579" w:type="dxa"/>
                </w:tcPr>
                <w:p w14:paraId="02D3F596" w14:textId="1E2B1104" w:rsidR="00EB76B2" w:rsidRPr="001C2DC5" w:rsidRDefault="00EB76B2" w:rsidP="00DF6221">
                  <w:pPr>
                    <w:framePr w:hSpace="180" w:wrap="around" w:vAnchor="text" w:hAnchor="text" w:xAlign="center" w:y="1"/>
                    <w:autoSpaceDE w:val="0"/>
                    <w:autoSpaceDN w:val="0"/>
                    <w:adjustRightInd w:val="0"/>
                    <w:suppressOverlap/>
                    <w:rPr>
                      <w:rFonts w:ascii="Times New Roman" w:hAnsi="Times New Roman"/>
                      <w:color w:val="000000"/>
                      <w:sz w:val="20"/>
                      <w:szCs w:val="20"/>
                    </w:rPr>
                  </w:pPr>
                  <w:r w:rsidRPr="001C2DC5">
                    <w:rPr>
                      <w:rFonts w:ascii="Times New Roman" w:hAnsi="Times New Roman"/>
                      <w:color w:val="000000"/>
                    </w:rPr>
                    <w:t xml:space="preserve"> </w:t>
                  </w:r>
                  <w:r w:rsidRPr="001C2DC5">
                    <w:rPr>
                      <w:rFonts w:ascii="Times New Roman" w:hAnsi="Times New Roman"/>
                      <w:color w:val="000000"/>
                      <w:sz w:val="20"/>
                      <w:szCs w:val="20"/>
                    </w:rPr>
                    <w:t xml:space="preserve">17. </w:t>
                  </w:r>
                  <w:r w:rsidR="00F92602">
                    <w:rPr>
                      <w:rFonts w:ascii="Times New Roman" w:hAnsi="Times New Roman"/>
                      <w:color w:val="000000"/>
                      <w:sz w:val="20"/>
                      <w:szCs w:val="20"/>
                    </w:rPr>
                    <w:t>Tenancy, Will</w:t>
                  </w:r>
                  <w:r w:rsidRPr="001C2DC5">
                    <w:rPr>
                      <w:rFonts w:ascii="Times New Roman" w:hAnsi="Times New Roman"/>
                      <w:color w:val="000000"/>
                      <w:sz w:val="20"/>
                      <w:szCs w:val="20"/>
                    </w:rPr>
                    <w:t xml:space="preserve"> </w:t>
                  </w:r>
                </w:p>
              </w:tc>
            </w:tr>
          </w:tbl>
          <w:p w14:paraId="250EC03C" w14:textId="13285ABE" w:rsidR="00EB76B2" w:rsidRDefault="00EB76B2" w:rsidP="00EB76B2">
            <w:pPr>
              <w:tabs>
                <w:tab w:val="left" w:pos="1800"/>
              </w:tabs>
              <w:autoSpaceDE w:val="0"/>
              <w:autoSpaceDN w:val="0"/>
              <w:adjustRightInd w:val="0"/>
              <w:rPr>
                <w:rFonts w:ascii="Times New Roman" w:hAnsi="Times New Roman"/>
              </w:rPr>
            </w:pPr>
          </w:p>
        </w:tc>
      </w:tr>
      <w:tr w:rsidR="00EB76B2" w:rsidRPr="00B261C9" w14:paraId="65C37A8B" w14:textId="77777777" w:rsidTr="00EB76B2">
        <w:trPr>
          <w:trHeight w:val="150"/>
        </w:trPr>
        <w:tc>
          <w:tcPr>
            <w:tcW w:w="3358" w:type="dxa"/>
          </w:tcPr>
          <w:p w14:paraId="6A887518" w14:textId="6B432C3C" w:rsidR="00EB76B2" w:rsidRDefault="00EB76B2" w:rsidP="00EB76B2">
            <w:pPr>
              <w:tabs>
                <w:tab w:val="left" w:pos="1800"/>
              </w:tabs>
              <w:autoSpaceDE w:val="0"/>
              <w:autoSpaceDN w:val="0"/>
              <w:adjustRightInd w:val="0"/>
              <w:rPr>
                <w:rFonts w:ascii="Times New Roman" w:hAnsi="Times New Roman"/>
              </w:rPr>
            </w:pPr>
          </w:p>
        </w:tc>
        <w:tc>
          <w:tcPr>
            <w:tcW w:w="3203" w:type="dxa"/>
          </w:tcPr>
          <w:p w14:paraId="1000FAD4" w14:textId="2F730994" w:rsidR="00EB76B2" w:rsidRDefault="00EB76B2" w:rsidP="00EB76B2">
            <w:pPr>
              <w:tabs>
                <w:tab w:val="left" w:pos="1800"/>
              </w:tabs>
              <w:autoSpaceDE w:val="0"/>
              <w:autoSpaceDN w:val="0"/>
              <w:adjustRightInd w:val="0"/>
              <w:rPr>
                <w:rFonts w:ascii="Times New Roman" w:hAnsi="Times New Roman"/>
              </w:rPr>
            </w:pPr>
          </w:p>
        </w:tc>
        <w:tc>
          <w:tcPr>
            <w:tcW w:w="3193" w:type="dxa"/>
          </w:tcPr>
          <w:p w14:paraId="10A35A14" w14:textId="7809EA6B" w:rsidR="00EB76B2" w:rsidRDefault="00EB76B2" w:rsidP="00EB76B2">
            <w:pPr>
              <w:tabs>
                <w:tab w:val="left" w:pos="1800"/>
              </w:tabs>
              <w:autoSpaceDE w:val="0"/>
              <w:autoSpaceDN w:val="0"/>
              <w:adjustRightInd w:val="0"/>
              <w:rPr>
                <w:rFonts w:ascii="Times New Roman" w:hAnsi="Times New Roman"/>
              </w:rPr>
            </w:pPr>
          </w:p>
        </w:tc>
      </w:tr>
    </w:tbl>
    <w:p w14:paraId="2332DC4D"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525" w14:textId="77777777" w:rsidR="00E04CE3" w:rsidRDefault="00E04CE3">
      <w:r>
        <w:separator/>
      </w:r>
    </w:p>
  </w:endnote>
  <w:endnote w:type="continuationSeparator" w:id="0">
    <w:p w14:paraId="0EC7646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Std">
    <w:altName w:val="Times New Roman"/>
    <w:panose1 w:val="00000000000000000000"/>
    <w:charset w:val="00"/>
    <w:family w:val="auto"/>
    <w:notTrueType/>
    <w:pitch w:val="default"/>
    <w:sig w:usb0="00000003" w:usb1="08070000" w:usb2="00000010" w:usb3="00000000" w:csb0="00020001"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10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3C2DF62"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F2F"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72340" w:rsidRPr="00D25C2E">
      <w:rPr>
        <w:rFonts w:ascii="Arial" w:hAnsi="Arial" w:cs="Arial"/>
        <w:sz w:val="20"/>
        <w:szCs w:val="20"/>
      </w:rPr>
      <w:t>20</w:t>
    </w:r>
    <w:r w:rsidR="00972340">
      <w:rPr>
        <w:rFonts w:ascii="Arial" w:hAnsi="Arial" w:cs="Arial"/>
        <w:sz w:val="20"/>
        <w:szCs w:val="20"/>
      </w:rPr>
      <w:t>23</w:t>
    </w:r>
    <w:r w:rsidR="00972340" w:rsidRPr="00D25C2E">
      <w:rPr>
        <w:rFonts w:ascii="Arial" w:hAnsi="Arial" w:cs="Arial"/>
        <w:sz w:val="20"/>
        <w:szCs w:val="20"/>
      </w:rPr>
      <w:t xml:space="preserve"> </w:t>
    </w:r>
    <w:r w:rsidRPr="00D25C2E">
      <w:rPr>
        <w:rFonts w:ascii="Arial" w:hAnsi="Arial" w:cs="Arial"/>
        <w:sz w:val="20"/>
        <w:szCs w:val="20"/>
      </w:rPr>
      <w:t>Kaplan, Inc.</w:t>
    </w:r>
  </w:p>
  <w:p w14:paraId="320762C0"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06F" w14:textId="77777777" w:rsidR="00E04CE3" w:rsidRDefault="00E04CE3">
      <w:r>
        <w:separator/>
      </w:r>
    </w:p>
  </w:footnote>
  <w:footnote w:type="continuationSeparator" w:id="0">
    <w:p w14:paraId="6DE4280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6F28" w14:textId="68AFCB98" w:rsidR="0094174A" w:rsidRPr="000D2B7D" w:rsidRDefault="000D2B7D" w:rsidP="000D2B7D">
    <w:pPr>
      <w:pStyle w:val="Header"/>
      <w:jc w:val="right"/>
    </w:pPr>
    <w:r w:rsidRPr="000D2B7D">
      <w:rPr>
        <w:rFonts w:ascii="Arial" w:hAnsi="Arial" w:cs="Arial"/>
        <w:i/>
        <w:sz w:val="20"/>
        <w:szCs w:val="20"/>
      </w:rPr>
      <w:t>FLORIDA REAL ESTATE PRINCIPALS, PRACTICES &amp; LAW, 47TH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6638B"/>
    <w:rsid w:val="00097E04"/>
    <w:rsid w:val="000D144B"/>
    <w:rsid w:val="000D2B7D"/>
    <w:rsid w:val="001159C0"/>
    <w:rsid w:val="00173F59"/>
    <w:rsid w:val="001B1E7E"/>
    <w:rsid w:val="001C2DC5"/>
    <w:rsid w:val="002B00B8"/>
    <w:rsid w:val="002B6B68"/>
    <w:rsid w:val="00356FB2"/>
    <w:rsid w:val="003C7446"/>
    <w:rsid w:val="003D4AB7"/>
    <w:rsid w:val="003F134C"/>
    <w:rsid w:val="00400649"/>
    <w:rsid w:val="004147EB"/>
    <w:rsid w:val="00414AE1"/>
    <w:rsid w:val="0044429C"/>
    <w:rsid w:val="00480004"/>
    <w:rsid w:val="004A05EC"/>
    <w:rsid w:val="004F1FBD"/>
    <w:rsid w:val="00506038"/>
    <w:rsid w:val="0058467B"/>
    <w:rsid w:val="005B5AB5"/>
    <w:rsid w:val="005B79D6"/>
    <w:rsid w:val="006217A0"/>
    <w:rsid w:val="0068025B"/>
    <w:rsid w:val="00705BF4"/>
    <w:rsid w:val="007214B0"/>
    <w:rsid w:val="007C0232"/>
    <w:rsid w:val="007F07DE"/>
    <w:rsid w:val="0086222E"/>
    <w:rsid w:val="00927FB5"/>
    <w:rsid w:val="0094174A"/>
    <w:rsid w:val="00972340"/>
    <w:rsid w:val="0099521C"/>
    <w:rsid w:val="00A410F8"/>
    <w:rsid w:val="00A54C6C"/>
    <w:rsid w:val="00AB5671"/>
    <w:rsid w:val="00AD6786"/>
    <w:rsid w:val="00AF33C8"/>
    <w:rsid w:val="00B20D6C"/>
    <w:rsid w:val="00B261C9"/>
    <w:rsid w:val="00B4617B"/>
    <w:rsid w:val="00BE25BD"/>
    <w:rsid w:val="00BF3FA6"/>
    <w:rsid w:val="00C26D47"/>
    <w:rsid w:val="00CD3D4D"/>
    <w:rsid w:val="00D00B2E"/>
    <w:rsid w:val="00D15438"/>
    <w:rsid w:val="00D70BAC"/>
    <w:rsid w:val="00D815DC"/>
    <w:rsid w:val="00DE2E72"/>
    <w:rsid w:val="00DF6221"/>
    <w:rsid w:val="00E04CE3"/>
    <w:rsid w:val="00E1651A"/>
    <w:rsid w:val="00E76CEE"/>
    <w:rsid w:val="00E9614D"/>
    <w:rsid w:val="00EB76B2"/>
    <w:rsid w:val="00ED76CF"/>
    <w:rsid w:val="00EF5DF7"/>
    <w:rsid w:val="00F000E2"/>
    <w:rsid w:val="00F3307B"/>
    <w:rsid w:val="00F7081F"/>
    <w:rsid w:val="00F92602"/>
    <w:rsid w:val="00FD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2</cp:revision>
  <cp:lastPrinted>2006-08-18T16:15:00Z</cp:lastPrinted>
  <dcterms:created xsi:type="dcterms:W3CDTF">2024-03-22T17:28:00Z</dcterms:created>
  <dcterms:modified xsi:type="dcterms:W3CDTF">2024-03-22T17:28:00Z</dcterms:modified>
</cp:coreProperties>
</file>