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C2E89" w:rsidRPr="00322BF0">
        <w:rPr>
          <w:rFonts w:ascii="Times New Roman" w:hAnsi="Times New Roman"/>
          <w:i/>
        </w:rPr>
        <w:t xml:space="preserve">California Real Estate Principles </w:t>
      </w:r>
      <w:r w:rsidR="00322BF0">
        <w:rPr>
          <w:rFonts w:ascii="Times New Roman" w:hAnsi="Times New Roman"/>
          <w:i/>
        </w:rPr>
        <w:t>Workbook</w:t>
      </w:r>
      <w:r w:rsidR="00414AE1" w:rsidRPr="00322BF0">
        <w:rPr>
          <w:rFonts w:ascii="Times New Roman" w:hAnsi="Times New Roman"/>
          <w:i/>
        </w:rPr>
        <w:t>,</w:t>
      </w:r>
      <w:r w:rsidR="004F1FBD" w:rsidRPr="00322BF0">
        <w:rPr>
          <w:rFonts w:ascii="Times New Roman" w:hAnsi="Times New Roman"/>
          <w:i/>
        </w:rPr>
        <w:t xml:space="preserve"> </w:t>
      </w:r>
      <w:r w:rsidR="00BC2E89" w:rsidRPr="00322BF0">
        <w:rPr>
          <w:rFonts w:ascii="Times New Roman" w:hAnsi="Times New Roman"/>
          <w:i/>
        </w:rPr>
        <w:t>4</w:t>
      </w:r>
      <w:r w:rsidR="00BC2E89" w:rsidRPr="00322BF0">
        <w:rPr>
          <w:rFonts w:ascii="Times New Roman" w:hAnsi="Times New Roman"/>
          <w:i/>
          <w:vertAlign w:val="superscript"/>
        </w:rPr>
        <w:t>th</w:t>
      </w:r>
      <w:r w:rsidR="00BC2E89" w:rsidRPr="00322BF0">
        <w:rPr>
          <w:rFonts w:ascii="Times New Roman" w:hAnsi="Times New Roman"/>
          <w:i/>
        </w:rPr>
        <w:t xml:space="preserve"> </w:t>
      </w:r>
      <w:r w:rsidR="0094174A" w:rsidRPr="00322BF0">
        <w:rPr>
          <w:rFonts w:ascii="Times New Roman" w:hAnsi="Times New Roman"/>
          <w:i/>
        </w:rPr>
        <w:t>Edition</w:t>
      </w:r>
      <w:r w:rsidRPr="00322BF0">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AF7384" w:rsidRDefault="00AF7384" w:rsidP="00173F59">
      <w:pPr>
        <w:tabs>
          <w:tab w:val="left" w:pos="1800"/>
        </w:tabs>
        <w:autoSpaceDE w:val="0"/>
        <w:autoSpaceDN w:val="0"/>
        <w:adjustRightInd w:val="0"/>
        <w:rPr>
          <w:rFonts w:ascii="Times New Roman" w:hAnsi="Times New Roman"/>
          <w:b/>
        </w:rPr>
      </w:pPr>
    </w:p>
    <w:p w:rsidR="00B261C9" w:rsidRPr="007C0232" w:rsidRDefault="00AF7384"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63, item 15</w:t>
            </w:r>
          </w:p>
        </w:tc>
        <w:tc>
          <w:tcPr>
            <w:tcW w:w="3033"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D</w:t>
            </w:r>
          </w:p>
        </w:tc>
        <w:tc>
          <w:tcPr>
            <w:tcW w:w="3106" w:type="dxa"/>
          </w:tcPr>
          <w:p w:rsidR="00B261C9" w:rsidRPr="00AF33C8" w:rsidRDefault="00BC2E89" w:rsidP="00B261C9">
            <w:pPr>
              <w:tabs>
                <w:tab w:val="left" w:pos="1800"/>
              </w:tabs>
              <w:autoSpaceDE w:val="0"/>
              <w:autoSpaceDN w:val="0"/>
              <w:adjustRightInd w:val="0"/>
              <w:rPr>
                <w:rFonts w:ascii="Times New Roman" w:hAnsi="Times New Roman"/>
              </w:rPr>
            </w:pPr>
            <w:r>
              <w:rPr>
                <w:rFonts w:ascii="Times New Roman" w:hAnsi="Times New Roman"/>
              </w:rPr>
              <w:t>15. C</w:t>
            </w:r>
          </w:p>
        </w:tc>
      </w:tr>
    </w:tbl>
    <w:p w:rsidR="00173F59" w:rsidRDefault="00173F59" w:rsidP="00B261C9">
      <w:pPr>
        <w:tabs>
          <w:tab w:val="left" w:pos="1800"/>
        </w:tabs>
        <w:autoSpaceDE w:val="0"/>
        <w:autoSpaceDN w:val="0"/>
        <w:adjustRightInd w:val="0"/>
        <w:rPr>
          <w:rFonts w:ascii="Times New Roman" w:hAnsi="Times New Roman"/>
        </w:rPr>
      </w:pPr>
    </w:p>
    <w:p w:rsidR="00AF7384" w:rsidRPr="00AF7384" w:rsidRDefault="00AF7384" w:rsidP="00B261C9">
      <w:pPr>
        <w:tabs>
          <w:tab w:val="left" w:pos="1800"/>
        </w:tabs>
        <w:autoSpaceDE w:val="0"/>
        <w:autoSpaceDN w:val="0"/>
        <w:adjustRightInd w:val="0"/>
        <w:rPr>
          <w:rFonts w:ascii="Times New Roman" w:hAnsi="Times New Roman"/>
          <w:b/>
        </w:rPr>
      </w:pPr>
      <w:r w:rsidRPr="00AF7384">
        <w:rPr>
          <w:rFonts w:ascii="Times New Roman" w:hAnsi="Times New Roman"/>
          <w:b/>
        </w:rPr>
        <w:t>Third printing, 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AF7384" w:rsidRPr="00B261C9" w:rsidTr="00866D77">
        <w:trPr>
          <w:trHeight w:val="144"/>
          <w:jc w:val="center"/>
        </w:trPr>
        <w:tc>
          <w:tcPr>
            <w:tcW w:w="3181"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AF7384" w:rsidRPr="00B261C9" w:rsidRDefault="00AF7384" w:rsidP="00866D77">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F7384" w:rsidRPr="00B261C9" w:rsidTr="00AF7384">
        <w:trPr>
          <w:trHeight w:val="314"/>
          <w:jc w:val="center"/>
        </w:trPr>
        <w:tc>
          <w:tcPr>
            <w:tcW w:w="3181"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181, PAGE 3, 3</w:t>
            </w:r>
            <w:r w:rsidRPr="00AF7384">
              <w:rPr>
                <w:rFonts w:ascii="Times New Roman" w:hAnsi="Times New Roman"/>
                <w:vertAlign w:val="superscript"/>
              </w:rPr>
              <w:t>rd</w:t>
            </w:r>
            <w:r>
              <w:rPr>
                <w:rFonts w:ascii="Times New Roman" w:hAnsi="Times New Roman"/>
              </w:rPr>
              <w:t xml:space="preserve"> item</w:t>
            </w:r>
          </w:p>
        </w:tc>
        <w:tc>
          <w:tcPr>
            <w:tcW w:w="3033"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real property</w:t>
            </w:r>
          </w:p>
        </w:tc>
        <w:tc>
          <w:tcPr>
            <w:tcW w:w="3106" w:type="dxa"/>
          </w:tcPr>
          <w:p w:rsidR="00AF7384" w:rsidRPr="00AF33C8" w:rsidRDefault="00AF7384" w:rsidP="00866D77">
            <w:pPr>
              <w:tabs>
                <w:tab w:val="left" w:pos="1800"/>
              </w:tabs>
              <w:autoSpaceDE w:val="0"/>
              <w:autoSpaceDN w:val="0"/>
              <w:adjustRightInd w:val="0"/>
              <w:rPr>
                <w:rFonts w:ascii="Times New Roman" w:hAnsi="Times New Roman"/>
              </w:rPr>
            </w:pPr>
            <w:r>
              <w:rPr>
                <w:rFonts w:ascii="Times New Roman" w:hAnsi="Times New Roman"/>
              </w:rPr>
              <w:t>personal property</w:t>
            </w:r>
          </w:p>
        </w:tc>
      </w:tr>
    </w:tbl>
    <w:p w:rsidR="00AF7384" w:rsidRDefault="00AF7384" w:rsidP="00B261C9">
      <w:pPr>
        <w:tabs>
          <w:tab w:val="left" w:pos="1800"/>
        </w:tabs>
        <w:autoSpaceDE w:val="0"/>
        <w:autoSpaceDN w:val="0"/>
        <w:adjustRightInd w:val="0"/>
        <w:rPr>
          <w:rFonts w:ascii="Times New Roman" w:hAnsi="Times New Roman"/>
        </w:rPr>
      </w:pPr>
    </w:p>
    <w:p w:rsidR="008503DA" w:rsidRPr="00AF7384" w:rsidRDefault="008503DA" w:rsidP="008503DA">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8503DA" w:rsidRPr="00B261C9" w:rsidTr="00C92C5A">
        <w:trPr>
          <w:trHeight w:val="144"/>
          <w:jc w:val="center"/>
        </w:trPr>
        <w:tc>
          <w:tcPr>
            <w:tcW w:w="3181" w:type="dxa"/>
            <w:shd w:val="clear" w:color="auto" w:fill="CCFFCC"/>
          </w:tcPr>
          <w:p w:rsidR="008503DA" w:rsidRPr="00B261C9" w:rsidRDefault="008503DA" w:rsidP="00C92C5A">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8503DA" w:rsidRPr="00B261C9" w:rsidRDefault="008503DA" w:rsidP="00C92C5A">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8503DA" w:rsidRPr="00B261C9" w:rsidRDefault="008503DA" w:rsidP="00C92C5A">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503DA" w:rsidRPr="00B261C9" w:rsidTr="00C92C5A">
        <w:trPr>
          <w:trHeight w:val="314"/>
          <w:jc w:val="center"/>
        </w:trPr>
        <w:tc>
          <w:tcPr>
            <w:tcW w:w="3181" w:type="dxa"/>
          </w:tcPr>
          <w:p w:rsidR="008503DA" w:rsidRPr="00AF33C8" w:rsidRDefault="002E0E41" w:rsidP="00C92C5A">
            <w:pPr>
              <w:tabs>
                <w:tab w:val="left" w:pos="1800"/>
              </w:tabs>
              <w:autoSpaceDE w:val="0"/>
              <w:autoSpaceDN w:val="0"/>
              <w:adjustRightInd w:val="0"/>
              <w:rPr>
                <w:rFonts w:ascii="Times New Roman" w:hAnsi="Times New Roman"/>
              </w:rPr>
            </w:pPr>
            <w:r>
              <w:rPr>
                <w:rFonts w:ascii="Times New Roman" w:hAnsi="Times New Roman"/>
              </w:rPr>
              <w:t>84 question 30</w:t>
            </w:r>
          </w:p>
        </w:tc>
        <w:tc>
          <w:tcPr>
            <w:tcW w:w="3033" w:type="dxa"/>
          </w:tcPr>
          <w:p w:rsidR="008503DA" w:rsidRDefault="002E0E41" w:rsidP="00C92C5A">
            <w:pPr>
              <w:tabs>
                <w:tab w:val="left" w:pos="1800"/>
              </w:tabs>
              <w:autoSpaceDE w:val="0"/>
              <w:autoSpaceDN w:val="0"/>
              <w:adjustRightInd w:val="0"/>
              <w:rPr>
                <w:rFonts w:ascii="Times New Roman" w:hAnsi="Times New Roman"/>
              </w:rPr>
            </w:pPr>
            <w:r>
              <w:rPr>
                <w:rFonts w:ascii="Times New Roman" w:hAnsi="Times New Roman"/>
              </w:rPr>
              <w:t xml:space="preserve">A purchase agreement would likely be voidable under all of these circumstances EXCEPT: </w:t>
            </w:r>
          </w:p>
          <w:p w:rsidR="002E0E41" w:rsidRDefault="002E0E41" w:rsidP="00C92C5A">
            <w:pPr>
              <w:tabs>
                <w:tab w:val="left" w:pos="1800"/>
              </w:tabs>
              <w:autoSpaceDE w:val="0"/>
              <w:autoSpaceDN w:val="0"/>
              <w:adjustRightInd w:val="0"/>
              <w:rPr>
                <w:rFonts w:ascii="Times New Roman" w:hAnsi="Times New Roman"/>
              </w:rPr>
            </w:pPr>
            <w:r>
              <w:rPr>
                <w:rFonts w:ascii="Times New Roman" w:hAnsi="Times New Roman"/>
              </w:rPr>
              <w:t>A. the purchaser is a minor.</w:t>
            </w:r>
          </w:p>
          <w:p w:rsidR="002E0E41" w:rsidRDefault="002E0E41" w:rsidP="00C92C5A">
            <w:pPr>
              <w:tabs>
                <w:tab w:val="left" w:pos="1800"/>
              </w:tabs>
              <w:autoSpaceDE w:val="0"/>
              <w:autoSpaceDN w:val="0"/>
              <w:adjustRightInd w:val="0"/>
              <w:rPr>
                <w:rFonts w:ascii="Times New Roman" w:hAnsi="Times New Roman"/>
              </w:rPr>
            </w:pPr>
            <w:r>
              <w:rPr>
                <w:rFonts w:ascii="Times New Roman" w:hAnsi="Times New Roman"/>
              </w:rPr>
              <w:t>B. the seller signed under duress.</w:t>
            </w:r>
          </w:p>
          <w:p w:rsidR="002E0E41" w:rsidRDefault="002E0E41" w:rsidP="00C92C5A">
            <w:pPr>
              <w:tabs>
                <w:tab w:val="left" w:pos="1800"/>
              </w:tabs>
              <w:autoSpaceDE w:val="0"/>
              <w:autoSpaceDN w:val="0"/>
              <w:adjustRightInd w:val="0"/>
              <w:rPr>
                <w:rFonts w:ascii="Times New Roman" w:hAnsi="Times New Roman"/>
              </w:rPr>
            </w:pPr>
            <w:r>
              <w:rPr>
                <w:rFonts w:ascii="Times New Roman" w:hAnsi="Times New Roman"/>
              </w:rPr>
              <w:t>C. the buyer didn’t read or understand the contract.</w:t>
            </w:r>
          </w:p>
          <w:p w:rsidR="002E0E41" w:rsidRPr="00AF33C8" w:rsidRDefault="002E0E41" w:rsidP="00C92C5A">
            <w:pPr>
              <w:tabs>
                <w:tab w:val="left" w:pos="1800"/>
              </w:tabs>
              <w:autoSpaceDE w:val="0"/>
              <w:autoSpaceDN w:val="0"/>
              <w:adjustRightInd w:val="0"/>
              <w:rPr>
                <w:rFonts w:ascii="Times New Roman" w:hAnsi="Times New Roman"/>
              </w:rPr>
            </w:pPr>
            <w:r>
              <w:rPr>
                <w:rFonts w:ascii="Times New Roman" w:hAnsi="Times New Roman"/>
              </w:rPr>
              <w:t>D. the seller made a material misrepresentation to the buyer.</w:t>
            </w:r>
          </w:p>
        </w:tc>
        <w:tc>
          <w:tcPr>
            <w:tcW w:w="3106" w:type="dxa"/>
          </w:tcPr>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A tenant has two years left on a five-year lease of commercial property. The tenant assigns the remaining two years of the lease. To whom did the tenant assign the lease?</w:t>
            </w:r>
          </w:p>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A. The landlord</w:t>
            </w:r>
          </w:p>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B. The new tenant</w:t>
            </w:r>
          </w:p>
          <w:p w:rsidR="002E0E41"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t>C. The lessor</w:t>
            </w:r>
          </w:p>
          <w:p w:rsidR="008503DA" w:rsidRPr="001E54A3" w:rsidRDefault="002E0E41" w:rsidP="002E0E41">
            <w:pPr>
              <w:autoSpaceDE w:val="0"/>
              <w:autoSpaceDN w:val="0"/>
              <w:adjustRightInd w:val="0"/>
              <w:rPr>
                <w:rFonts w:ascii="Segoe UI" w:hAnsi="Segoe UI" w:cs="Segoe UI"/>
                <w:sz w:val="22"/>
                <w:szCs w:val="22"/>
              </w:rPr>
            </w:pPr>
            <w:r w:rsidRPr="001E54A3">
              <w:rPr>
                <w:rFonts w:ascii="Segoe UI" w:hAnsi="Segoe UI" w:cs="Segoe UI"/>
                <w:sz w:val="22"/>
                <w:szCs w:val="22"/>
              </w:rPr>
              <w:lastRenderedPageBreak/>
              <w:t xml:space="preserve">D. None of these </w:t>
            </w:r>
          </w:p>
        </w:tc>
      </w:tr>
      <w:tr w:rsidR="002E0E41" w:rsidRPr="00B261C9" w:rsidTr="00C92C5A">
        <w:trPr>
          <w:trHeight w:val="314"/>
          <w:jc w:val="center"/>
        </w:trPr>
        <w:tc>
          <w:tcPr>
            <w:tcW w:w="3181" w:type="dxa"/>
          </w:tcPr>
          <w:p w:rsidR="002E0E41" w:rsidRDefault="001E54A3" w:rsidP="00C92C5A">
            <w:pPr>
              <w:tabs>
                <w:tab w:val="left" w:pos="1800"/>
              </w:tabs>
              <w:autoSpaceDE w:val="0"/>
              <w:autoSpaceDN w:val="0"/>
              <w:adjustRightInd w:val="0"/>
              <w:rPr>
                <w:rFonts w:ascii="Times New Roman" w:hAnsi="Times New Roman"/>
              </w:rPr>
            </w:pPr>
            <w:r>
              <w:rPr>
                <w:rFonts w:ascii="Times New Roman" w:hAnsi="Times New Roman"/>
              </w:rPr>
              <w:lastRenderedPageBreak/>
              <w:t>89, answer 24</w:t>
            </w:r>
          </w:p>
        </w:tc>
        <w:tc>
          <w:tcPr>
            <w:tcW w:w="3033" w:type="dxa"/>
          </w:tcPr>
          <w:p w:rsidR="002E0E41" w:rsidRDefault="001E54A3" w:rsidP="00C92C5A">
            <w:pPr>
              <w:tabs>
                <w:tab w:val="left" w:pos="1800"/>
              </w:tabs>
              <w:autoSpaceDE w:val="0"/>
              <w:autoSpaceDN w:val="0"/>
              <w:adjustRightInd w:val="0"/>
              <w:rPr>
                <w:rFonts w:ascii="Times New Roman" w:hAnsi="Times New Roman"/>
              </w:rPr>
            </w:pPr>
            <w:r>
              <w:rPr>
                <w:rFonts w:ascii="Times New Roman" w:hAnsi="Times New Roman"/>
              </w:rPr>
              <w:t>D Contracts with a minor are voidable by the minor, not the adult.</w:t>
            </w:r>
          </w:p>
        </w:tc>
        <w:tc>
          <w:tcPr>
            <w:tcW w:w="3106" w:type="dxa"/>
          </w:tcPr>
          <w:p w:rsidR="002E0E41" w:rsidRDefault="001E54A3" w:rsidP="002E0E41">
            <w:pPr>
              <w:autoSpaceDE w:val="0"/>
              <w:autoSpaceDN w:val="0"/>
              <w:adjustRightInd w:val="0"/>
              <w:rPr>
                <w:rFonts w:ascii="Segoe UI" w:hAnsi="Segoe UI" w:cs="Segoe UI"/>
                <w:color w:val="FF0000"/>
                <w:sz w:val="22"/>
                <w:szCs w:val="22"/>
              </w:rPr>
            </w:pPr>
            <w:r>
              <w:rPr>
                <w:rFonts w:ascii="Segoe UI" w:hAnsi="Segoe UI" w:cs="Segoe UI"/>
                <w:b/>
                <w:bCs/>
                <w:color w:val="212121"/>
                <w:sz w:val="22"/>
                <w:szCs w:val="22"/>
              </w:rPr>
              <w:t>B</w:t>
            </w:r>
            <w:r>
              <w:rPr>
                <w:rFonts w:ascii="Segoe UI" w:hAnsi="Segoe UI" w:cs="Segoe UI"/>
                <w:color w:val="000000"/>
                <w:sz w:val="22"/>
                <w:szCs w:val="22"/>
              </w:rPr>
              <w:t xml:space="preserve"> </w:t>
            </w:r>
            <w:r>
              <w:rPr>
                <w:rFonts w:ascii="Segoe UI" w:hAnsi="Segoe UI" w:cs="Segoe UI"/>
                <w:color w:val="212121"/>
                <w:sz w:val="22"/>
                <w:szCs w:val="22"/>
              </w:rPr>
              <w:t xml:space="preserve"> A minor generally cannot make a contract concerning real estate. Such a contract would be void.</w:t>
            </w:r>
          </w:p>
        </w:tc>
      </w:tr>
      <w:tr w:rsidR="001E54A3" w:rsidRPr="00B261C9" w:rsidTr="00C92C5A">
        <w:trPr>
          <w:trHeight w:val="314"/>
          <w:jc w:val="center"/>
        </w:trPr>
        <w:tc>
          <w:tcPr>
            <w:tcW w:w="3181"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89, answer 29</w:t>
            </w:r>
          </w:p>
        </w:tc>
        <w:tc>
          <w:tcPr>
            <w:tcW w:w="3033"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A The contract is voidable because the minor could disaffirm it.</w:t>
            </w:r>
          </w:p>
        </w:tc>
        <w:tc>
          <w:tcPr>
            <w:tcW w:w="3106" w:type="dxa"/>
          </w:tcPr>
          <w:p w:rsidR="001E54A3" w:rsidRDefault="001E54A3" w:rsidP="002E0E41">
            <w:pPr>
              <w:autoSpaceDE w:val="0"/>
              <w:autoSpaceDN w:val="0"/>
              <w:adjustRightInd w:val="0"/>
              <w:rPr>
                <w:rFonts w:ascii="Segoe UI" w:hAnsi="Segoe UI" w:cs="Segoe UI"/>
                <w:color w:val="FF0000"/>
                <w:sz w:val="22"/>
                <w:szCs w:val="22"/>
              </w:rPr>
            </w:pPr>
            <w:r>
              <w:rPr>
                <w:rFonts w:ascii="Segoe UI" w:hAnsi="Segoe UI" w:cs="Segoe UI"/>
                <w:b/>
                <w:bCs/>
                <w:color w:val="000000"/>
              </w:rPr>
              <w:t xml:space="preserve">B </w:t>
            </w:r>
            <w:r>
              <w:rPr>
                <w:rFonts w:ascii="Segoe UI" w:hAnsi="Segoe UI" w:cs="Segoe UI"/>
                <w:color w:val="000000"/>
              </w:rPr>
              <w:t xml:space="preserve"> The contract is void because a minor generally cannot make a contract concerning real estate.</w:t>
            </w:r>
          </w:p>
        </w:tc>
      </w:tr>
      <w:tr w:rsidR="001E54A3" w:rsidRPr="00B261C9" w:rsidTr="00C92C5A">
        <w:trPr>
          <w:trHeight w:val="314"/>
          <w:jc w:val="center"/>
        </w:trPr>
        <w:tc>
          <w:tcPr>
            <w:tcW w:w="3181"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89, answer 30</w:t>
            </w:r>
          </w:p>
        </w:tc>
        <w:tc>
          <w:tcPr>
            <w:tcW w:w="3033" w:type="dxa"/>
          </w:tcPr>
          <w:p w:rsidR="001E54A3" w:rsidRDefault="001E54A3" w:rsidP="00C92C5A">
            <w:pPr>
              <w:tabs>
                <w:tab w:val="left" w:pos="1800"/>
              </w:tabs>
              <w:autoSpaceDE w:val="0"/>
              <w:autoSpaceDN w:val="0"/>
              <w:adjustRightInd w:val="0"/>
              <w:rPr>
                <w:rFonts w:ascii="Times New Roman" w:hAnsi="Times New Roman"/>
              </w:rPr>
            </w:pPr>
            <w:r>
              <w:rPr>
                <w:rFonts w:ascii="Times New Roman" w:hAnsi="Times New Roman"/>
              </w:rPr>
              <w:t>C Failure to read the contract does not allow a party to withdraw.</w:t>
            </w:r>
          </w:p>
        </w:tc>
        <w:tc>
          <w:tcPr>
            <w:tcW w:w="3106" w:type="dxa"/>
          </w:tcPr>
          <w:p w:rsidR="001E54A3" w:rsidRPr="001E54A3" w:rsidRDefault="001E54A3" w:rsidP="002E0E41">
            <w:pPr>
              <w:autoSpaceDE w:val="0"/>
              <w:autoSpaceDN w:val="0"/>
              <w:adjustRightInd w:val="0"/>
              <w:rPr>
                <w:rFonts w:ascii="Segoe UI" w:hAnsi="Segoe UI" w:cs="Segoe UI"/>
                <w:sz w:val="22"/>
                <w:szCs w:val="22"/>
              </w:rPr>
            </w:pPr>
            <w:r w:rsidRPr="001E54A3">
              <w:rPr>
                <w:rFonts w:ascii="Segoe UI" w:hAnsi="Segoe UI" w:cs="Segoe UI"/>
                <w:sz w:val="22"/>
                <w:szCs w:val="22"/>
              </w:rPr>
              <w:t>B  An assignment of a lease transfers the rights of the original tenant to the new tenant for the remainder of the term of the lease.</w:t>
            </w:r>
          </w:p>
        </w:tc>
      </w:tr>
    </w:tbl>
    <w:p w:rsidR="008503DA" w:rsidRPr="00160242" w:rsidRDefault="00F212B0" w:rsidP="00B261C9">
      <w:pPr>
        <w:tabs>
          <w:tab w:val="left" w:pos="1800"/>
        </w:tabs>
        <w:autoSpaceDE w:val="0"/>
        <w:autoSpaceDN w:val="0"/>
        <w:adjustRightInd w:val="0"/>
        <w:rPr>
          <w:rFonts w:ascii="Times New Roman" w:hAnsi="Times New Roman"/>
          <w:b/>
        </w:rPr>
      </w:pPr>
      <w:r w:rsidRPr="00160242">
        <w:rPr>
          <w:rFonts w:ascii="Times New Roman" w:hAnsi="Times New Roman"/>
          <w:b/>
        </w:rPr>
        <w:t>Third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F212B0" w:rsidRPr="00B261C9" w:rsidTr="00E24B8C">
        <w:trPr>
          <w:trHeight w:val="144"/>
          <w:jc w:val="center"/>
        </w:trPr>
        <w:tc>
          <w:tcPr>
            <w:tcW w:w="3359" w:type="dxa"/>
            <w:shd w:val="clear" w:color="auto" w:fill="CCFFCC"/>
          </w:tcPr>
          <w:p w:rsidR="00F212B0" w:rsidRPr="00B261C9" w:rsidRDefault="00F212B0" w:rsidP="00713764">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F212B0" w:rsidRPr="00B261C9" w:rsidRDefault="00F212B0" w:rsidP="00713764">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F212B0" w:rsidRPr="00B261C9" w:rsidRDefault="00F212B0" w:rsidP="00713764">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F212B0" w:rsidRPr="001E54A3" w:rsidTr="00E24B8C">
        <w:trPr>
          <w:trHeight w:val="314"/>
          <w:jc w:val="center"/>
        </w:trPr>
        <w:tc>
          <w:tcPr>
            <w:tcW w:w="3359" w:type="dxa"/>
          </w:tcPr>
          <w:p w:rsidR="00F212B0" w:rsidRPr="00AF33C8" w:rsidRDefault="00160242" w:rsidP="00713764">
            <w:pPr>
              <w:tabs>
                <w:tab w:val="left" w:pos="1800"/>
              </w:tabs>
              <w:autoSpaceDE w:val="0"/>
              <w:autoSpaceDN w:val="0"/>
              <w:adjustRightInd w:val="0"/>
              <w:rPr>
                <w:rFonts w:ascii="Times New Roman" w:hAnsi="Times New Roman"/>
              </w:rPr>
            </w:pPr>
            <w:r>
              <w:rPr>
                <w:rFonts w:ascii="Times New Roman" w:hAnsi="Times New Roman"/>
              </w:rPr>
              <w:t>p. 31-32</w:t>
            </w:r>
          </w:p>
        </w:tc>
        <w:tc>
          <w:tcPr>
            <w:tcW w:w="3202" w:type="dxa"/>
          </w:tcPr>
          <w:p w:rsidR="00160242" w:rsidRPr="00160242" w:rsidRDefault="00160242" w:rsidP="00160242">
            <w:pPr>
              <w:tabs>
                <w:tab w:val="left" w:pos="1800"/>
              </w:tabs>
              <w:autoSpaceDE w:val="0"/>
              <w:autoSpaceDN w:val="0"/>
              <w:adjustRightInd w:val="0"/>
              <w:rPr>
                <w:rFonts w:ascii="Times New Roman" w:hAnsi="Times New Roman"/>
              </w:rPr>
            </w:pPr>
            <w:r w:rsidRPr="00160242">
              <w:rPr>
                <w:rFonts w:ascii="Times New Roman" w:hAnsi="Times New Roman"/>
              </w:rPr>
              <w:t>2. The amount of protection differs in the value of homestead rights and who may receive them.</w:t>
            </w:r>
          </w:p>
          <w:p w:rsidR="00160242" w:rsidRPr="00160242" w:rsidRDefault="00160242" w:rsidP="00160242">
            <w:pPr>
              <w:tabs>
                <w:tab w:val="left" w:pos="1800"/>
              </w:tabs>
              <w:autoSpaceDE w:val="0"/>
              <w:autoSpaceDN w:val="0"/>
              <w:adjustRightInd w:val="0"/>
              <w:rPr>
                <w:rFonts w:ascii="Times New Roman" w:hAnsi="Times New Roman"/>
              </w:rPr>
            </w:pPr>
            <w:r w:rsidRPr="00160242">
              <w:rPr>
                <w:rFonts w:ascii="Times New Roman" w:hAnsi="Times New Roman"/>
              </w:rPr>
              <w:t xml:space="preserve">     a) Single person: $75,000</w:t>
            </w:r>
          </w:p>
          <w:p w:rsidR="00160242" w:rsidRPr="00160242" w:rsidRDefault="00160242" w:rsidP="00160242">
            <w:pPr>
              <w:tabs>
                <w:tab w:val="left" w:pos="1800"/>
              </w:tabs>
              <w:autoSpaceDE w:val="0"/>
              <w:autoSpaceDN w:val="0"/>
              <w:adjustRightInd w:val="0"/>
              <w:rPr>
                <w:rFonts w:ascii="Times New Roman" w:hAnsi="Times New Roman"/>
              </w:rPr>
            </w:pPr>
            <w:r>
              <w:rPr>
                <w:rFonts w:ascii="Times New Roman" w:hAnsi="Times New Roman"/>
              </w:rPr>
              <w:t xml:space="preserve">     b) Family unit: $1</w:t>
            </w:r>
            <w:r w:rsidRPr="00160242">
              <w:rPr>
                <w:rFonts w:ascii="Times New Roman" w:hAnsi="Times New Roman"/>
              </w:rPr>
              <w:t>00,000</w:t>
            </w:r>
          </w:p>
          <w:p w:rsidR="00F212B0" w:rsidRPr="00AF33C8" w:rsidRDefault="00160242" w:rsidP="00160242">
            <w:pPr>
              <w:tabs>
                <w:tab w:val="left" w:pos="1800"/>
              </w:tabs>
              <w:autoSpaceDE w:val="0"/>
              <w:autoSpaceDN w:val="0"/>
              <w:adjustRightInd w:val="0"/>
              <w:rPr>
                <w:rFonts w:ascii="Times New Roman" w:hAnsi="Times New Roman"/>
              </w:rPr>
            </w:pPr>
            <w:r w:rsidRPr="00160242">
              <w:rPr>
                <w:rFonts w:ascii="Times New Roman" w:hAnsi="Times New Roman"/>
              </w:rPr>
              <w:t xml:space="preserve">     c) Persons age 65 or older</w:t>
            </w:r>
            <w:r>
              <w:rPr>
                <w:rFonts w:ascii="Times New Roman" w:hAnsi="Times New Roman"/>
              </w:rPr>
              <w:t>,</w:t>
            </w:r>
            <w:r w:rsidRPr="00160242">
              <w:rPr>
                <w:rFonts w:ascii="Times New Roman" w:hAnsi="Times New Roman"/>
              </w:rPr>
              <w:t xml:space="preserve"> the disabled, or persons age 55 or older with lo</w:t>
            </w:r>
            <w:r>
              <w:rPr>
                <w:rFonts w:ascii="Times New Roman" w:hAnsi="Times New Roman"/>
              </w:rPr>
              <w:t>w</w:t>
            </w:r>
            <w:r w:rsidRPr="00160242">
              <w:rPr>
                <w:rFonts w:ascii="Times New Roman" w:hAnsi="Times New Roman"/>
              </w:rPr>
              <w:t xml:space="preserve"> income: $175,000</w:t>
            </w:r>
          </w:p>
        </w:tc>
        <w:tc>
          <w:tcPr>
            <w:tcW w:w="3279" w:type="dxa"/>
          </w:tcPr>
          <w:p w:rsidR="00F212B0" w:rsidRPr="00160242" w:rsidRDefault="00F212B0" w:rsidP="00F212B0">
            <w:pPr>
              <w:autoSpaceDE w:val="0"/>
              <w:autoSpaceDN w:val="0"/>
              <w:adjustRightInd w:val="0"/>
              <w:rPr>
                <w:rFonts w:ascii="Times New Roman" w:hAnsi="Times New Roman"/>
                <w:sz w:val="22"/>
                <w:szCs w:val="22"/>
              </w:rPr>
            </w:pPr>
            <w:r w:rsidRPr="00160242">
              <w:rPr>
                <w:rFonts w:ascii="Times New Roman" w:hAnsi="Times New Roman"/>
                <w:sz w:val="22"/>
                <w:szCs w:val="22"/>
              </w:rPr>
              <w:t>2. The amount of the homestead exemption (as of January 1, 2021) is the greater of the following:</w:t>
            </w:r>
          </w:p>
          <w:p w:rsidR="00F212B0" w:rsidRPr="00160242" w:rsidRDefault="00F212B0" w:rsidP="00F212B0">
            <w:pPr>
              <w:autoSpaceDE w:val="0"/>
              <w:autoSpaceDN w:val="0"/>
              <w:adjustRightInd w:val="0"/>
              <w:rPr>
                <w:rFonts w:ascii="Times New Roman" w:hAnsi="Times New Roman"/>
                <w:sz w:val="22"/>
                <w:szCs w:val="22"/>
              </w:rPr>
            </w:pPr>
            <w:r w:rsidRPr="00160242">
              <w:rPr>
                <w:rFonts w:ascii="Times New Roman" w:hAnsi="Times New Roman"/>
                <w:sz w:val="22"/>
                <w:szCs w:val="22"/>
              </w:rPr>
              <w:t xml:space="preserve">     a) The countywide median sale price for a single-family home in the calendar year prior to the calendar year in which the judgment debtor claims the exemption, not to exceed six hundred thousand dollars ($600,000).</w:t>
            </w:r>
          </w:p>
          <w:p w:rsidR="00F212B0" w:rsidRPr="00160242" w:rsidRDefault="00F212B0" w:rsidP="00F212B0">
            <w:pPr>
              <w:autoSpaceDE w:val="0"/>
              <w:autoSpaceDN w:val="0"/>
              <w:adjustRightInd w:val="0"/>
              <w:rPr>
                <w:rFonts w:ascii="Times New Roman" w:hAnsi="Times New Roman"/>
                <w:sz w:val="22"/>
                <w:szCs w:val="22"/>
              </w:rPr>
            </w:pPr>
            <w:r w:rsidRPr="00160242">
              <w:rPr>
                <w:rFonts w:ascii="Times New Roman" w:hAnsi="Times New Roman"/>
                <w:sz w:val="22"/>
                <w:szCs w:val="22"/>
              </w:rPr>
              <w:t xml:space="preserve">     </w:t>
            </w:r>
            <w:proofErr w:type="gramStart"/>
            <w:r w:rsidRPr="00160242">
              <w:rPr>
                <w:rFonts w:ascii="Times New Roman" w:hAnsi="Times New Roman"/>
                <w:sz w:val="22"/>
                <w:szCs w:val="22"/>
              </w:rPr>
              <w:t>b</w:t>
            </w:r>
            <w:proofErr w:type="gramEnd"/>
            <w:r w:rsidRPr="00160242">
              <w:rPr>
                <w:rFonts w:ascii="Times New Roman" w:hAnsi="Times New Roman"/>
                <w:sz w:val="22"/>
                <w:szCs w:val="22"/>
              </w:rPr>
              <w:t>) Three hundred thousand dollars ($300,000).</w:t>
            </w:r>
          </w:p>
          <w:p w:rsidR="00F212B0" w:rsidRPr="001E54A3" w:rsidRDefault="00F212B0" w:rsidP="00F212B0">
            <w:pPr>
              <w:autoSpaceDE w:val="0"/>
              <w:autoSpaceDN w:val="0"/>
              <w:adjustRightInd w:val="0"/>
              <w:rPr>
                <w:rFonts w:ascii="Segoe UI" w:hAnsi="Segoe UI" w:cs="Segoe UI"/>
                <w:sz w:val="22"/>
                <w:szCs w:val="22"/>
              </w:rPr>
            </w:pPr>
            <w:r w:rsidRPr="00160242">
              <w:rPr>
                <w:rFonts w:ascii="Times New Roman" w:hAnsi="Times New Roman"/>
                <w:sz w:val="22"/>
                <w:szCs w:val="22"/>
              </w:rPr>
              <w:t xml:space="preserve">         (1) The amounts specified in this section shall adjust annually for inflation, beginning on January 1, 2022, based on the change in the annual California Consumer Price Index for All Urban Consumers for the prior fiscal year, published by the Department of Industrial Relations.</w:t>
            </w:r>
          </w:p>
        </w:tc>
      </w:tr>
      <w:tr w:rsidR="00E24B8C" w:rsidRPr="001E54A3" w:rsidTr="00E24B8C">
        <w:trPr>
          <w:trHeight w:val="314"/>
          <w:jc w:val="center"/>
        </w:trPr>
        <w:tc>
          <w:tcPr>
            <w:tcW w:w="3359" w:type="dxa"/>
            <w:tcBorders>
              <w:top w:val="single" w:sz="4" w:space="0" w:color="auto"/>
              <w:left w:val="single" w:sz="4" w:space="0" w:color="auto"/>
              <w:bottom w:val="single" w:sz="4" w:space="0" w:color="auto"/>
              <w:right w:val="single" w:sz="4" w:space="0" w:color="auto"/>
            </w:tcBorders>
          </w:tcPr>
          <w:p w:rsidR="00E24B8C" w:rsidRPr="00AF33C8" w:rsidRDefault="00E24B8C" w:rsidP="00E24B8C">
            <w:pPr>
              <w:tabs>
                <w:tab w:val="left" w:pos="1800"/>
              </w:tabs>
              <w:autoSpaceDE w:val="0"/>
              <w:autoSpaceDN w:val="0"/>
              <w:adjustRightInd w:val="0"/>
              <w:rPr>
                <w:rFonts w:ascii="Times New Roman" w:hAnsi="Times New Roman"/>
              </w:rPr>
            </w:pPr>
            <w:r>
              <w:rPr>
                <w:rFonts w:ascii="Times New Roman" w:hAnsi="Times New Roman"/>
              </w:rPr>
              <w:t xml:space="preserve">p. </w:t>
            </w:r>
            <w:r>
              <w:rPr>
                <w:rFonts w:ascii="Times New Roman" w:hAnsi="Times New Roman"/>
              </w:rPr>
              <w:t>144</w:t>
            </w:r>
          </w:p>
        </w:tc>
        <w:tc>
          <w:tcPr>
            <w:tcW w:w="3202" w:type="dxa"/>
            <w:tcBorders>
              <w:top w:val="single" w:sz="4" w:space="0" w:color="auto"/>
              <w:left w:val="single" w:sz="4" w:space="0" w:color="auto"/>
              <w:bottom w:val="single" w:sz="4" w:space="0" w:color="auto"/>
              <w:right w:val="single" w:sz="4" w:space="0" w:color="auto"/>
            </w:tcBorders>
          </w:tcPr>
          <w:p w:rsidR="00E24B8C" w:rsidRPr="00AF33C8" w:rsidRDefault="00E24B8C" w:rsidP="00B146CE">
            <w:pPr>
              <w:tabs>
                <w:tab w:val="left" w:pos="1800"/>
              </w:tabs>
              <w:autoSpaceDE w:val="0"/>
              <w:autoSpaceDN w:val="0"/>
              <w:adjustRightInd w:val="0"/>
              <w:rPr>
                <w:rFonts w:ascii="Times New Roman" w:hAnsi="Times New Roman"/>
              </w:rPr>
            </w:pPr>
            <w:r>
              <w:rPr>
                <w:rFonts w:ascii="Times New Roman" w:hAnsi="Times New Roman"/>
              </w:rPr>
              <w:t>Figure 7.1: Securing a Promissory Note</w:t>
            </w:r>
          </w:p>
        </w:tc>
        <w:tc>
          <w:tcPr>
            <w:tcW w:w="3279" w:type="dxa"/>
            <w:tcBorders>
              <w:top w:val="single" w:sz="4" w:space="0" w:color="auto"/>
              <w:left w:val="single" w:sz="4" w:space="0" w:color="auto"/>
              <w:bottom w:val="single" w:sz="4" w:space="0" w:color="auto"/>
              <w:right w:val="single" w:sz="4" w:space="0" w:color="auto"/>
            </w:tcBorders>
          </w:tcPr>
          <w:p w:rsidR="00E24B8C" w:rsidRPr="00E24B8C" w:rsidRDefault="00E24B8C" w:rsidP="00B146CE">
            <w:pPr>
              <w:autoSpaceDE w:val="0"/>
              <w:autoSpaceDN w:val="0"/>
              <w:adjustRightInd w:val="0"/>
              <w:rPr>
                <w:rFonts w:ascii="Times New Roman" w:hAnsi="Times New Roman"/>
                <w:sz w:val="22"/>
                <w:szCs w:val="22"/>
              </w:rPr>
            </w:pPr>
            <w:r>
              <w:rPr>
                <w:rFonts w:ascii="Times New Roman" w:hAnsi="Times New Roman"/>
                <w:sz w:val="22"/>
                <w:szCs w:val="22"/>
              </w:rPr>
              <w:t>Figure 7.1: When Does the Listing Broker Get Paid</w:t>
            </w:r>
            <w:bookmarkStart w:id="0" w:name="_GoBack"/>
            <w:bookmarkEnd w:id="0"/>
          </w:p>
        </w:tc>
      </w:tr>
    </w:tbl>
    <w:p w:rsidR="00F212B0" w:rsidRPr="007C0232" w:rsidRDefault="00F212B0" w:rsidP="00B261C9">
      <w:pPr>
        <w:tabs>
          <w:tab w:val="left" w:pos="1800"/>
        </w:tabs>
        <w:autoSpaceDE w:val="0"/>
        <w:autoSpaceDN w:val="0"/>
        <w:adjustRightInd w:val="0"/>
        <w:rPr>
          <w:rFonts w:ascii="Times New Roman" w:hAnsi="Times New Roman"/>
        </w:rPr>
      </w:pPr>
    </w:p>
    <w:sectPr w:rsidR="00F212B0"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BC2E89" w:rsidP="0094174A">
    <w:pPr>
      <w:pStyle w:val="Header"/>
      <w:jc w:val="right"/>
      <w:rPr>
        <w:rFonts w:ascii="Arial" w:hAnsi="Arial" w:cs="Arial"/>
        <w:i/>
        <w:sz w:val="20"/>
        <w:szCs w:val="20"/>
      </w:rPr>
    </w:pPr>
    <w:r>
      <w:rPr>
        <w:rFonts w:ascii="Arial" w:hAnsi="Arial" w:cs="Arial"/>
        <w:i/>
        <w:sz w:val="20"/>
        <w:szCs w:val="20"/>
      </w:rPr>
      <w:t>California Real Estate Principles Workbook 4</w:t>
    </w:r>
    <w:r w:rsidRPr="00BC2E89">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60242"/>
    <w:rsid w:val="00173F59"/>
    <w:rsid w:val="001B1E7E"/>
    <w:rsid w:val="001E54A3"/>
    <w:rsid w:val="002B00B8"/>
    <w:rsid w:val="002E0E41"/>
    <w:rsid w:val="00322BF0"/>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8503DA"/>
    <w:rsid w:val="00927FB5"/>
    <w:rsid w:val="0094174A"/>
    <w:rsid w:val="0099521C"/>
    <w:rsid w:val="00A410F8"/>
    <w:rsid w:val="00A54C6C"/>
    <w:rsid w:val="00AB5671"/>
    <w:rsid w:val="00AD6786"/>
    <w:rsid w:val="00AF33C8"/>
    <w:rsid w:val="00AF7384"/>
    <w:rsid w:val="00B261C9"/>
    <w:rsid w:val="00B4617B"/>
    <w:rsid w:val="00BC2E89"/>
    <w:rsid w:val="00BF3FA6"/>
    <w:rsid w:val="00D00B2E"/>
    <w:rsid w:val="00D15438"/>
    <w:rsid w:val="00D70BAC"/>
    <w:rsid w:val="00D815DC"/>
    <w:rsid w:val="00DE2E72"/>
    <w:rsid w:val="00E04CE3"/>
    <w:rsid w:val="00E24B8C"/>
    <w:rsid w:val="00E76CEE"/>
    <w:rsid w:val="00E9614D"/>
    <w:rsid w:val="00EF5DF7"/>
    <w:rsid w:val="00F000E2"/>
    <w:rsid w:val="00F212B0"/>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5675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499</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Katherine Bourgeois</cp:lastModifiedBy>
  <cp:revision>4</cp:revision>
  <cp:lastPrinted>2006-08-18T16:15:00Z</cp:lastPrinted>
  <dcterms:created xsi:type="dcterms:W3CDTF">2021-10-25T16:55:00Z</dcterms:created>
  <dcterms:modified xsi:type="dcterms:W3CDTF">2023-05-15T14:38:00Z</dcterms:modified>
</cp:coreProperties>
</file>