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AC63"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77B50C68" w14:textId="77777777" w:rsidR="00173F59" w:rsidRDefault="00173F59" w:rsidP="00173F59">
      <w:pPr>
        <w:rPr>
          <w:rFonts w:ascii="Times New Roman" w:hAnsi="Times New Roman"/>
        </w:rPr>
      </w:pPr>
    </w:p>
    <w:p w14:paraId="77A9E5B1" w14:textId="77777777" w:rsidR="0094174A" w:rsidRPr="007C0232" w:rsidRDefault="0094174A" w:rsidP="00173F59">
      <w:pPr>
        <w:rPr>
          <w:rFonts w:ascii="Times New Roman" w:hAnsi="Times New Roman"/>
        </w:rPr>
      </w:pPr>
    </w:p>
    <w:p w14:paraId="4BDDB781" w14:textId="0B5AACBE"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8629E" w:rsidRPr="0008629E">
        <w:rPr>
          <w:rFonts w:ascii="Times New Roman" w:hAnsi="Times New Roman"/>
          <w:i/>
        </w:rPr>
        <w:t>Study Guide for</w:t>
      </w:r>
      <w:r w:rsidR="0008629E">
        <w:rPr>
          <w:rFonts w:ascii="Times New Roman" w:hAnsi="Times New Roman"/>
        </w:rPr>
        <w:t xml:space="preserve"> </w:t>
      </w:r>
      <w:r w:rsidR="00B53503">
        <w:rPr>
          <w:rFonts w:ascii="Times New Roman" w:hAnsi="Times New Roman"/>
          <w:i/>
        </w:rPr>
        <w:t>Modern Real Estate Practice, 21</w:t>
      </w:r>
      <w:r w:rsidR="00B53503" w:rsidRPr="00B53503">
        <w:rPr>
          <w:rFonts w:ascii="Times New Roman" w:hAnsi="Times New Roman"/>
          <w:i/>
          <w:vertAlign w:val="superscript"/>
        </w:rPr>
        <w:t>st</w:t>
      </w:r>
      <w:r w:rsidR="00B53503">
        <w:rPr>
          <w:rFonts w:ascii="Times New Roman" w:hAnsi="Times New Roman"/>
          <w:i/>
        </w:rPr>
        <w:t xml:space="preserve"> Edition</w:t>
      </w:r>
      <w:r w:rsidRPr="002B6B68">
        <w:rPr>
          <w:rFonts w:ascii="Times New Roman" w:hAnsi="Times New Roman"/>
        </w:rPr>
        <w:t>.</w:t>
      </w:r>
      <w:r w:rsidRPr="007C0232">
        <w:rPr>
          <w:rFonts w:ascii="Times New Roman" w:hAnsi="Times New Roman"/>
        </w:rPr>
        <w:t xml:space="preserve"> </w:t>
      </w:r>
    </w:p>
    <w:p w14:paraId="13D5A19D" w14:textId="77777777" w:rsidR="00173F59" w:rsidRDefault="00173F59" w:rsidP="00173F59">
      <w:pPr>
        <w:tabs>
          <w:tab w:val="left" w:pos="1800"/>
        </w:tabs>
        <w:autoSpaceDE w:val="0"/>
        <w:autoSpaceDN w:val="0"/>
        <w:adjustRightInd w:val="0"/>
        <w:rPr>
          <w:rFonts w:ascii="Times New Roman" w:hAnsi="Times New Roman"/>
          <w:b/>
        </w:rPr>
      </w:pPr>
    </w:p>
    <w:p w14:paraId="05A5BE09"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42780303" w14:textId="77777777" w:rsidR="00D00B2E" w:rsidRDefault="00D00B2E" w:rsidP="00173F59">
      <w:pPr>
        <w:tabs>
          <w:tab w:val="left" w:pos="1800"/>
        </w:tabs>
        <w:autoSpaceDE w:val="0"/>
        <w:autoSpaceDN w:val="0"/>
        <w:adjustRightInd w:val="0"/>
        <w:rPr>
          <w:rFonts w:ascii="Times New Roman" w:hAnsi="Times New Roman"/>
        </w:rPr>
      </w:pPr>
    </w:p>
    <w:p w14:paraId="11185638"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0734C7B2" wp14:editId="0EDDB6D5">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6DB06ACC" w14:textId="5F81AD5C" w:rsidR="00B261C9" w:rsidRDefault="00B261C9" w:rsidP="00173F59">
      <w:pPr>
        <w:tabs>
          <w:tab w:val="left" w:pos="1800"/>
        </w:tabs>
        <w:autoSpaceDE w:val="0"/>
        <w:autoSpaceDN w:val="0"/>
        <w:adjustRightInd w:val="0"/>
        <w:rPr>
          <w:rFonts w:ascii="Times New Roman" w:hAnsi="Times New Roman"/>
          <w:b/>
        </w:rPr>
      </w:pPr>
    </w:p>
    <w:p w14:paraId="64426BF2" w14:textId="77777777" w:rsidR="001B2187" w:rsidRDefault="001B2187" w:rsidP="00173F59">
      <w:pPr>
        <w:tabs>
          <w:tab w:val="left" w:pos="1800"/>
        </w:tabs>
        <w:autoSpaceDE w:val="0"/>
        <w:autoSpaceDN w:val="0"/>
        <w:adjustRightInd w:val="0"/>
        <w:rPr>
          <w:rFonts w:ascii="Times New Roman" w:hAnsi="Times New Roman"/>
          <w:b/>
        </w:rPr>
      </w:pPr>
    </w:p>
    <w:p w14:paraId="0CE48F72" w14:textId="758401B5" w:rsidR="006F58A5" w:rsidRPr="007C0232" w:rsidRDefault="006F58A5" w:rsidP="00173F59">
      <w:pPr>
        <w:tabs>
          <w:tab w:val="left" w:pos="1800"/>
        </w:tabs>
        <w:autoSpaceDE w:val="0"/>
        <w:autoSpaceDN w:val="0"/>
        <w:adjustRightInd w:val="0"/>
        <w:rPr>
          <w:rFonts w:ascii="Times New Roman" w:hAnsi="Times New Roman"/>
          <w:b/>
        </w:rPr>
      </w:pPr>
      <w:r>
        <w:rPr>
          <w:rFonts w:ascii="Times New Roman" w:hAnsi="Times New Roman"/>
          <w:b/>
        </w:rPr>
        <w:t>1</w:t>
      </w:r>
      <w:r w:rsidRPr="006F58A5">
        <w:rPr>
          <w:rFonts w:ascii="Times New Roman" w:hAnsi="Times New Roman"/>
          <w:b/>
          <w:vertAlign w:val="superscript"/>
        </w:rPr>
        <w:t>st</w:t>
      </w:r>
      <w:r>
        <w:rPr>
          <w:rFonts w:ascii="Times New Roman" w:hAnsi="Times New Roman"/>
          <w:b/>
        </w:rPr>
        <w:t xml:space="preserve"> revision, 2</w:t>
      </w:r>
      <w:r w:rsidRPr="006F58A5">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0F8A403F" w14:textId="77777777" w:rsidTr="006F58A5">
        <w:trPr>
          <w:trHeight w:val="144"/>
          <w:jc w:val="center"/>
        </w:trPr>
        <w:tc>
          <w:tcPr>
            <w:tcW w:w="3358" w:type="dxa"/>
            <w:shd w:val="clear" w:color="auto" w:fill="CCFFCC"/>
          </w:tcPr>
          <w:p w14:paraId="23FE06C0"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6355CA4A"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6D3E7137"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156D1567" w14:textId="77777777" w:rsidTr="006F58A5">
        <w:trPr>
          <w:trHeight w:val="150"/>
          <w:jc w:val="center"/>
        </w:trPr>
        <w:tc>
          <w:tcPr>
            <w:tcW w:w="3358" w:type="dxa"/>
          </w:tcPr>
          <w:p w14:paraId="45CF6EB4" w14:textId="3911CC2A" w:rsidR="00B261C9" w:rsidRPr="00AF33C8" w:rsidRDefault="0008629E" w:rsidP="00B261C9">
            <w:pPr>
              <w:tabs>
                <w:tab w:val="left" w:pos="1800"/>
              </w:tabs>
              <w:autoSpaceDE w:val="0"/>
              <w:autoSpaceDN w:val="0"/>
              <w:adjustRightInd w:val="0"/>
              <w:rPr>
                <w:rFonts w:ascii="Times New Roman" w:hAnsi="Times New Roman"/>
              </w:rPr>
            </w:pPr>
            <w:r>
              <w:rPr>
                <w:rFonts w:ascii="Times New Roman" w:hAnsi="Times New Roman"/>
              </w:rPr>
              <w:t>26, matching A answer key</w:t>
            </w:r>
          </w:p>
        </w:tc>
        <w:tc>
          <w:tcPr>
            <w:tcW w:w="3203" w:type="dxa"/>
          </w:tcPr>
          <w:p w14:paraId="2B512926" w14:textId="77777777" w:rsidR="001B2187" w:rsidRPr="001B2187" w:rsidRDefault="001B2187" w:rsidP="001B2187">
            <w:pPr>
              <w:autoSpaceDE w:val="0"/>
              <w:autoSpaceDN w:val="0"/>
              <w:adjustRightInd w:val="0"/>
              <w:rPr>
                <w:rFonts w:ascii="Adobe Garamond Pro Bold" w:hAnsi="Adobe Garamond Pro Bold" w:cs="Adobe Garamond Pro Bold"/>
                <w:color w:val="000000"/>
              </w:rPr>
            </w:pPr>
          </w:p>
          <w:p w14:paraId="63A46720" w14:textId="77777777" w:rsidR="001B2187" w:rsidRPr="001B2187" w:rsidRDefault="001B2187" w:rsidP="001B2187">
            <w:pPr>
              <w:autoSpaceDE w:val="0"/>
              <w:autoSpaceDN w:val="0"/>
              <w:adjustRightInd w:val="0"/>
              <w:rPr>
                <w:rFonts w:ascii="Adobe Garamond Pro Bold" w:hAnsi="Adobe Garamond Pro Bold"/>
              </w:rPr>
            </w:pPr>
          </w:p>
          <w:p w14:paraId="35152C0A"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0"/>
                <w:szCs w:val="20"/>
              </w:rPr>
            </w:pPr>
            <w:r w:rsidRPr="001B2187">
              <w:rPr>
                <w:rFonts w:ascii="Adobe Garamond Pro Bold" w:hAnsi="Adobe Garamond Pro Bold"/>
                <w:b/>
                <w:bCs/>
                <w:color w:val="211D1E"/>
                <w:sz w:val="20"/>
                <w:szCs w:val="20"/>
              </w:rPr>
              <w:t xml:space="preserve">I </w:t>
            </w:r>
          </w:p>
          <w:p w14:paraId="08474750"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C </w:t>
            </w:r>
          </w:p>
          <w:p w14:paraId="31878D13"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A </w:t>
            </w:r>
          </w:p>
          <w:p w14:paraId="383BD08B"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J </w:t>
            </w:r>
          </w:p>
          <w:p w14:paraId="69BC38A3"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D </w:t>
            </w:r>
          </w:p>
          <w:p w14:paraId="74D5C4BD"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E </w:t>
            </w:r>
          </w:p>
          <w:p w14:paraId="47E98CB5"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G </w:t>
            </w:r>
          </w:p>
          <w:p w14:paraId="65C7D3F1"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H </w:t>
            </w:r>
          </w:p>
          <w:p w14:paraId="3E1ABCBC" w14:textId="77777777" w:rsidR="001B2187" w:rsidRPr="001B2187" w:rsidRDefault="001B2187" w:rsidP="001B2187">
            <w:pPr>
              <w:numPr>
                <w:ilvl w:val="0"/>
                <w:numId w:val="2"/>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F </w:t>
            </w:r>
          </w:p>
          <w:p w14:paraId="22C75FA0" w14:textId="77777777" w:rsidR="001B2187" w:rsidRPr="001B2187" w:rsidRDefault="001B2187" w:rsidP="001B2187">
            <w:pPr>
              <w:numPr>
                <w:ilvl w:val="0"/>
                <w:numId w:val="2"/>
              </w:numPr>
              <w:autoSpaceDE w:val="0"/>
              <w:autoSpaceDN w:val="0"/>
              <w:adjustRightInd w:val="0"/>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B </w:t>
            </w:r>
          </w:p>
          <w:p w14:paraId="41D6C39C" w14:textId="4793DB99" w:rsidR="00B261C9" w:rsidRPr="00AF33C8" w:rsidRDefault="00B261C9" w:rsidP="0053509D">
            <w:pPr>
              <w:rPr>
                <w:rFonts w:ascii="Times New Roman" w:hAnsi="Times New Roman"/>
              </w:rPr>
            </w:pPr>
          </w:p>
        </w:tc>
        <w:tc>
          <w:tcPr>
            <w:tcW w:w="3193" w:type="dxa"/>
          </w:tcPr>
          <w:p w14:paraId="0194BCCC" w14:textId="77777777" w:rsidR="0008629E" w:rsidRPr="001B2187" w:rsidRDefault="0008629E" w:rsidP="0008629E">
            <w:pPr>
              <w:autoSpaceDE w:val="0"/>
              <w:autoSpaceDN w:val="0"/>
              <w:adjustRightInd w:val="0"/>
              <w:rPr>
                <w:rFonts w:ascii="Segoe UI" w:hAnsi="Segoe UI" w:cs="Segoe UI"/>
                <w:color w:val="000000"/>
              </w:rPr>
            </w:pPr>
          </w:p>
          <w:p w14:paraId="421B9E53" w14:textId="77777777" w:rsidR="0008629E" w:rsidRPr="001B2187" w:rsidRDefault="0008629E" w:rsidP="0008629E">
            <w:pPr>
              <w:autoSpaceDE w:val="0"/>
              <w:autoSpaceDN w:val="0"/>
              <w:adjustRightInd w:val="0"/>
              <w:rPr>
                <w:rFonts w:ascii="Segoe UI" w:hAnsi="Segoe UI" w:cs="Segoe UI"/>
                <w:color w:val="000000"/>
              </w:rPr>
            </w:pPr>
          </w:p>
          <w:p w14:paraId="3895A32E" w14:textId="77777777" w:rsidR="0008629E" w:rsidRPr="001B2187" w:rsidRDefault="0008629E" w:rsidP="0008629E">
            <w:pPr>
              <w:autoSpaceDE w:val="0"/>
              <w:autoSpaceDN w:val="0"/>
              <w:adjustRightInd w:val="0"/>
              <w:rPr>
                <w:rFonts w:ascii="Segoe UI" w:hAnsi="Segoe UI" w:cs="Segoe UI"/>
                <w:bCs/>
                <w:color w:val="1F1B1C"/>
                <w:sz w:val="20"/>
                <w:szCs w:val="20"/>
              </w:rPr>
            </w:pPr>
            <w:r w:rsidRPr="001B2187">
              <w:rPr>
                <w:rFonts w:ascii="Segoe UI" w:hAnsi="Segoe UI" w:cs="Segoe UI"/>
                <w:bCs/>
                <w:color w:val="1F1B1C"/>
                <w:sz w:val="20"/>
                <w:szCs w:val="20"/>
              </w:rPr>
              <w:t xml:space="preserve">1. J </w:t>
            </w:r>
          </w:p>
          <w:p w14:paraId="5FA1F68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2. D </w:t>
            </w:r>
          </w:p>
          <w:p w14:paraId="637B523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3. A </w:t>
            </w:r>
          </w:p>
          <w:p w14:paraId="0D0DD22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4. B </w:t>
            </w:r>
          </w:p>
          <w:p w14:paraId="664441FD"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5. E </w:t>
            </w:r>
          </w:p>
          <w:p w14:paraId="63A4719B"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6. F </w:t>
            </w:r>
          </w:p>
          <w:p w14:paraId="36A73A5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7. H </w:t>
            </w:r>
          </w:p>
          <w:p w14:paraId="48755506"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8. I </w:t>
            </w:r>
          </w:p>
          <w:p w14:paraId="584B9CF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9. G </w:t>
            </w:r>
          </w:p>
          <w:p w14:paraId="67D1D578"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10. C </w:t>
            </w:r>
          </w:p>
          <w:p w14:paraId="77F754B3" w14:textId="77777777" w:rsidR="0008629E" w:rsidRPr="001B2187" w:rsidRDefault="0008629E" w:rsidP="0008629E">
            <w:pPr>
              <w:autoSpaceDE w:val="0"/>
              <w:autoSpaceDN w:val="0"/>
              <w:adjustRightInd w:val="0"/>
              <w:rPr>
                <w:rFonts w:ascii="Segoe UI" w:hAnsi="Segoe UI" w:cs="Segoe UI"/>
                <w:sz w:val="23"/>
                <w:szCs w:val="23"/>
              </w:rPr>
            </w:pPr>
          </w:p>
          <w:p w14:paraId="671B17CE" w14:textId="30A1A368" w:rsidR="00B261C9" w:rsidRPr="001B2187" w:rsidRDefault="00B261C9" w:rsidP="00C26D47">
            <w:pPr>
              <w:tabs>
                <w:tab w:val="left" w:pos="1800"/>
              </w:tabs>
              <w:autoSpaceDE w:val="0"/>
              <w:autoSpaceDN w:val="0"/>
              <w:adjustRightInd w:val="0"/>
              <w:rPr>
                <w:rFonts w:ascii="Times New Roman" w:hAnsi="Times New Roman"/>
              </w:rPr>
            </w:pPr>
          </w:p>
        </w:tc>
      </w:tr>
      <w:tr w:rsidR="006F58A5" w:rsidRPr="00B261C9" w14:paraId="59498277" w14:textId="77777777" w:rsidTr="006F58A5">
        <w:trPr>
          <w:trHeight w:val="150"/>
          <w:jc w:val="center"/>
        </w:trPr>
        <w:tc>
          <w:tcPr>
            <w:tcW w:w="3358" w:type="dxa"/>
          </w:tcPr>
          <w:p w14:paraId="6FB89AAD" w14:textId="469D97BA" w:rsidR="006F58A5" w:rsidRPr="00B20D6C" w:rsidRDefault="0008629E" w:rsidP="00B261C9">
            <w:pPr>
              <w:tabs>
                <w:tab w:val="left" w:pos="1800"/>
              </w:tabs>
              <w:autoSpaceDE w:val="0"/>
              <w:autoSpaceDN w:val="0"/>
              <w:adjustRightInd w:val="0"/>
              <w:rPr>
                <w:rFonts w:ascii="Times New Roman" w:hAnsi="Times New Roman"/>
              </w:rPr>
            </w:pPr>
            <w:r>
              <w:rPr>
                <w:rFonts w:ascii="Times New Roman" w:hAnsi="Times New Roman"/>
              </w:rPr>
              <w:lastRenderedPageBreak/>
              <w:t>26, matching B answer key</w:t>
            </w:r>
          </w:p>
        </w:tc>
        <w:tc>
          <w:tcPr>
            <w:tcW w:w="3203" w:type="dxa"/>
          </w:tcPr>
          <w:p w14:paraId="65AB7B28" w14:textId="77777777" w:rsidR="001B2187" w:rsidRPr="001B2187" w:rsidRDefault="001B2187" w:rsidP="001B2187">
            <w:pPr>
              <w:autoSpaceDE w:val="0"/>
              <w:autoSpaceDN w:val="0"/>
              <w:adjustRightInd w:val="0"/>
              <w:rPr>
                <w:rFonts w:ascii="Adobe Garamond Pro Bold" w:hAnsi="Adobe Garamond Pro Bold" w:cs="Adobe Garamond Pro Bold"/>
                <w:color w:val="000000"/>
              </w:rPr>
            </w:pPr>
          </w:p>
          <w:p w14:paraId="7EA08BDD" w14:textId="77777777" w:rsidR="001B2187" w:rsidRPr="001B2187" w:rsidRDefault="001B2187" w:rsidP="001B2187">
            <w:pPr>
              <w:autoSpaceDE w:val="0"/>
              <w:autoSpaceDN w:val="0"/>
              <w:adjustRightInd w:val="0"/>
              <w:rPr>
                <w:rFonts w:ascii="Adobe Garamond Pro Bold" w:hAnsi="Adobe Garamond Pro Bold"/>
              </w:rPr>
            </w:pPr>
          </w:p>
          <w:p w14:paraId="7022916C"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0"/>
                <w:szCs w:val="20"/>
              </w:rPr>
            </w:pPr>
            <w:r w:rsidRPr="001B2187">
              <w:rPr>
                <w:rFonts w:ascii="Adobe Garamond Pro Bold" w:hAnsi="Adobe Garamond Pro Bold"/>
                <w:b/>
                <w:bCs/>
                <w:color w:val="211D1E"/>
                <w:sz w:val="20"/>
                <w:szCs w:val="20"/>
              </w:rPr>
              <w:t xml:space="preserve">I </w:t>
            </w:r>
          </w:p>
          <w:p w14:paraId="7931CB0D"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G </w:t>
            </w:r>
          </w:p>
          <w:p w14:paraId="0647A47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J </w:t>
            </w:r>
          </w:p>
          <w:p w14:paraId="057C3A2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E </w:t>
            </w:r>
          </w:p>
          <w:p w14:paraId="09CEA483"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D </w:t>
            </w:r>
          </w:p>
          <w:p w14:paraId="5789E29F"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H </w:t>
            </w:r>
          </w:p>
          <w:p w14:paraId="5FC7CDF8"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A </w:t>
            </w:r>
          </w:p>
          <w:p w14:paraId="0F3585A1"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F </w:t>
            </w:r>
          </w:p>
          <w:p w14:paraId="13541F7F" w14:textId="77777777" w:rsidR="001B2187" w:rsidRPr="001B2187" w:rsidRDefault="001B2187" w:rsidP="001B2187">
            <w:pPr>
              <w:numPr>
                <w:ilvl w:val="0"/>
                <w:numId w:val="3"/>
              </w:numPr>
              <w:autoSpaceDE w:val="0"/>
              <w:autoSpaceDN w:val="0"/>
              <w:adjustRightInd w:val="0"/>
              <w:spacing w:after="177"/>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C </w:t>
            </w:r>
          </w:p>
          <w:p w14:paraId="1D4912D8" w14:textId="77777777" w:rsidR="001B2187" w:rsidRPr="001B2187" w:rsidRDefault="001B2187" w:rsidP="001B2187">
            <w:pPr>
              <w:numPr>
                <w:ilvl w:val="0"/>
                <w:numId w:val="3"/>
              </w:numPr>
              <w:autoSpaceDE w:val="0"/>
              <w:autoSpaceDN w:val="0"/>
              <w:adjustRightInd w:val="0"/>
              <w:ind w:left="360" w:hanging="360"/>
              <w:rPr>
                <w:rFonts w:ascii="Adobe Garamond Pro Bold" w:hAnsi="Adobe Garamond Pro Bold"/>
                <w:color w:val="211D1E"/>
                <w:sz w:val="22"/>
                <w:szCs w:val="22"/>
              </w:rPr>
            </w:pPr>
            <w:r w:rsidRPr="001B2187">
              <w:rPr>
                <w:rFonts w:ascii="Adobe Garamond Pro Bold" w:hAnsi="Adobe Garamond Pro Bold"/>
                <w:b/>
                <w:bCs/>
                <w:color w:val="211D1E"/>
                <w:sz w:val="22"/>
                <w:szCs w:val="22"/>
              </w:rPr>
              <w:t xml:space="preserve">B </w:t>
            </w:r>
          </w:p>
          <w:p w14:paraId="1812D324" w14:textId="16343851"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01E71073" w14:textId="77777777" w:rsidR="0008629E" w:rsidRPr="001B2187" w:rsidRDefault="0008629E" w:rsidP="0008629E">
            <w:pPr>
              <w:autoSpaceDE w:val="0"/>
              <w:autoSpaceDN w:val="0"/>
              <w:adjustRightInd w:val="0"/>
              <w:rPr>
                <w:rFonts w:ascii="Segoe UI" w:hAnsi="Segoe UI" w:cs="Segoe UI"/>
                <w:color w:val="000000"/>
              </w:rPr>
            </w:pPr>
          </w:p>
          <w:p w14:paraId="186EB9CA" w14:textId="77777777" w:rsidR="0008629E" w:rsidRPr="001B2187" w:rsidRDefault="0008629E" w:rsidP="0008629E">
            <w:pPr>
              <w:autoSpaceDE w:val="0"/>
              <w:autoSpaceDN w:val="0"/>
              <w:adjustRightInd w:val="0"/>
              <w:rPr>
                <w:rFonts w:ascii="Segoe UI" w:hAnsi="Segoe UI" w:cs="Segoe UI"/>
                <w:color w:val="000000"/>
              </w:rPr>
            </w:pPr>
          </w:p>
          <w:p w14:paraId="6ADA273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 J </w:t>
            </w:r>
          </w:p>
          <w:p w14:paraId="4E1FA709"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2. H </w:t>
            </w:r>
          </w:p>
          <w:p w14:paraId="2F57E71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3. B </w:t>
            </w:r>
          </w:p>
          <w:p w14:paraId="5A499A5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4. F </w:t>
            </w:r>
          </w:p>
          <w:p w14:paraId="54B23FBD"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5. E </w:t>
            </w:r>
          </w:p>
          <w:p w14:paraId="55440A7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6. I </w:t>
            </w:r>
          </w:p>
          <w:p w14:paraId="2E52DBD7"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7. A </w:t>
            </w:r>
          </w:p>
          <w:p w14:paraId="3BC881B3"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8. G </w:t>
            </w:r>
          </w:p>
          <w:p w14:paraId="16248B85"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9. D </w:t>
            </w:r>
          </w:p>
          <w:p w14:paraId="1309187A" w14:textId="77777777" w:rsidR="0008629E" w:rsidRPr="001B2187" w:rsidRDefault="0008629E" w:rsidP="0008629E">
            <w:pPr>
              <w:autoSpaceDE w:val="0"/>
              <w:autoSpaceDN w:val="0"/>
              <w:adjustRightInd w:val="0"/>
              <w:rPr>
                <w:rFonts w:ascii="Segoe UI" w:hAnsi="Segoe UI" w:cs="Segoe UI"/>
                <w:color w:val="1F1B1C"/>
                <w:sz w:val="20"/>
                <w:szCs w:val="20"/>
              </w:rPr>
            </w:pPr>
            <w:r w:rsidRPr="001B2187">
              <w:rPr>
                <w:rFonts w:ascii="Segoe UI" w:hAnsi="Segoe UI" w:cs="Segoe UI"/>
                <w:bCs/>
                <w:color w:val="1F1B1C"/>
                <w:sz w:val="20"/>
                <w:szCs w:val="20"/>
              </w:rPr>
              <w:t xml:space="preserve">10. C </w:t>
            </w:r>
          </w:p>
          <w:p w14:paraId="5EFCCBC6" w14:textId="77777777" w:rsidR="0008629E" w:rsidRPr="001B2187" w:rsidRDefault="0008629E" w:rsidP="0008629E">
            <w:pPr>
              <w:autoSpaceDE w:val="0"/>
              <w:autoSpaceDN w:val="0"/>
              <w:adjustRightInd w:val="0"/>
              <w:rPr>
                <w:rFonts w:ascii="Segoe UI" w:hAnsi="Segoe UI" w:cs="Segoe UI"/>
                <w:sz w:val="23"/>
                <w:szCs w:val="23"/>
              </w:rPr>
            </w:pPr>
          </w:p>
          <w:p w14:paraId="253ABBF6" w14:textId="4AF438CF" w:rsidR="006F58A5" w:rsidRPr="001B2187" w:rsidRDefault="006F58A5" w:rsidP="00B20D6C">
            <w:pPr>
              <w:tabs>
                <w:tab w:val="left" w:pos="1800"/>
              </w:tabs>
              <w:autoSpaceDE w:val="0"/>
              <w:autoSpaceDN w:val="0"/>
              <w:adjustRightInd w:val="0"/>
              <w:rPr>
                <w:rFonts w:ascii="Times New Roman" w:hAnsi="Times New Roman"/>
              </w:rPr>
            </w:pPr>
          </w:p>
        </w:tc>
      </w:tr>
      <w:tr w:rsidR="006F58A5" w:rsidRPr="00B261C9" w14:paraId="523B212A" w14:textId="77777777" w:rsidTr="006F58A5">
        <w:trPr>
          <w:trHeight w:val="150"/>
          <w:jc w:val="center"/>
        </w:trPr>
        <w:tc>
          <w:tcPr>
            <w:tcW w:w="3358" w:type="dxa"/>
          </w:tcPr>
          <w:p w14:paraId="5B7B5745" w14:textId="4446815D" w:rsidR="006F58A5" w:rsidRPr="00B20D6C" w:rsidRDefault="006F4C05" w:rsidP="00B261C9">
            <w:pPr>
              <w:tabs>
                <w:tab w:val="left" w:pos="1800"/>
              </w:tabs>
              <w:autoSpaceDE w:val="0"/>
              <w:autoSpaceDN w:val="0"/>
              <w:adjustRightInd w:val="0"/>
              <w:rPr>
                <w:rFonts w:ascii="Times New Roman" w:hAnsi="Times New Roman"/>
              </w:rPr>
            </w:pPr>
            <w:r>
              <w:rPr>
                <w:rFonts w:ascii="Times New Roman" w:hAnsi="Times New Roman"/>
              </w:rPr>
              <w:t>107 (multiple choice answer key)</w:t>
            </w:r>
          </w:p>
        </w:tc>
        <w:tc>
          <w:tcPr>
            <w:tcW w:w="3203" w:type="dxa"/>
          </w:tcPr>
          <w:p w14:paraId="2D08A765" w14:textId="400AA19D" w:rsidR="006F4C05" w:rsidRPr="006F4C05" w:rsidRDefault="006F4C05" w:rsidP="006F4C05">
            <w:pPr>
              <w:autoSpaceDE w:val="0"/>
              <w:autoSpaceDN w:val="0"/>
              <w:adjustRightInd w:val="0"/>
              <w:rPr>
                <w:rFonts w:ascii="Adobe Garamond Pro" w:hAnsi="Adobe Garamond Pro" w:cs="Adobe Garamond Pro"/>
                <w:color w:val="221E1F"/>
                <w:sz w:val="20"/>
                <w:szCs w:val="20"/>
              </w:rPr>
            </w:pPr>
            <w:r w:rsidRPr="006F4C05">
              <w:rPr>
                <w:rFonts w:ascii="Adobe Garamond Pro Bold" w:hAnsi="Adobe Garamond Pro Bold"/>
                <w:b/>
                <w:bCs/>
                <w:color w:val="221E1F"/>
                <w:sz w:val="20"/>
                <w:szCs w:val="20"/>
              </w:rPr>
              <w:t>C</w:t>
            </w:r>
            <w:r>
              <w:rPr>
                <w:rFonts w:ascii="Adobe Garamond Pro Bold" w:hAnsi="Adobe Garamond Pro Bold"/>
                <w:b/>
                <w:bCs/>
                <w:color w:val="221E1F"/>
                <w:sz w:val="20"/>
                <w:szCs w:val="20"/>
              </w:rPr>
              <w:t>.</w:t>
            </w:r>
            <w:r w:rsidRPr="006F4C05">
              <w:rPr>
                <w:rFonts w:ascii="Adobe Garamond Pro Bold" w:hAnsi="Adobe Garamond Pro Bold"/>
                <w:b/>
                <w:bCs/>
                <w:color w:val="221E1F"/>
                <w:sz w:val="20"/>
                <w:szCs w:val="20"/>
              </w:rPr>
              <w:t xml:space="preserve"> </w:t>
            </w:r>
            <w:r w:rsidRPr="006F4C05">
              <w:rPr>
                <w:rFonts w:ascii="Adobe Garamond Pro" w:hAnsi="Adobe Garamond Pro" w:cs="Adobe Garamond Pro"/>
                <w:color w:val="221E1F"/>
                <w:sz w:val="20"/>
                <w:szCs w:val="20"/>
              </w:rPr>
              <w:t xml:space="preserve">The answer is an offer to purchase. Because an offer to purchase may not be accepted, it would not terminate the listing agreement. (162–163) </w:t>
            </w:r>
          </w:p>
          <w:p w14:paraId="25CFDFB0" w14:textId="64C8307E"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32C532D0" w14:textId="13E6F09E" w:rsidR="006F58A5" w:rsidRPr="006F4C05" w:rsidRDefault="006F4C05" w:rsidP="006F4C05">
            <w:pPr>
              <w:tabs>
                <w:tab w:val="left" w:pos="960"/>
              </w:tabs>
              <w:autoSpaceDE w:val="0"/>
              <w:autoSpaceDN w:val="0"/>
              <w:adjustRightInd w:val="0"/>
              <w:rPr>
                <w:rFonts w:ascii="Times New Roman" w:hAnsi="Times New Roman"/>
                <w:b/>
              </w:rPr>
            </w:pPr>
            <w:bookmarkStart w:id="0" w:name="_GoBack"/>
            <w:r>
              <w:rPr>
                <w:rFonts w:ascii="Segoe UI" w:hAnsi="Segoe UI" w:cs="Segoe UI"/>
                <w:color w:val="000000"/>
                <w:sz w:val="21"/>
                <w:szCs w:val="21"/>
              </w:rPr>
              <w:t xml:space="preserve">C. The answer is the </w:t>
            </w:r>
            <w:r>
              <w:rPr>
                <w:rFonts w:ascii="Segoe UI" w:hAnsi="Segoe UI" w:cs="Segoe UI"/>
                <w:color w:val="000000"/>
                <w:sz w:val="21"/>
                <w:szCs w:val="21"/>
              </w:rPr>
              <w:t>seller refuses to sell. A listing agreement can't be terminated just to suit the broker's convenience.</w:t>
            </w:r>
            <w:r w:rsidR="00896A29">
              <w:rPr>
                <w:rFonts w:ascii="Segoe UI" w:hAnsi="Segoe UI" w:cs="Segoe UI"/>
                <w:color w:val="000000"/>
                <w:sz w:val="21"/>
                <w:szCs w:val="21"/>
              </w:rPr>
              <w:t xml:space="preserve"> </w:t>
            </w:r>
            <w:r w:rsidR="00896A29" w:rsidRPr="006F4C05">
              <w:rPr>
                <w:rFonts w:ascii="Adobe Garamond Pro" w:hAnsi="Adobe Garamond Pro" w:cs="Adobe Garamond Pro"/>
                <w:color w:val="221E1F"/>
                <w:sz w:val="20"/>
                <w:szCs w:val="20"/>
              </w:rPr>
              <w:t>(162–163)</w:t>
            </w:r>
            <w:bookmarkEnd w:id="0"/>
          </w:p>
        </w:tc>
      </w:tr>
      <w:tr w:rsidR="006F58A5" w:rsidRPr="00B261C9" w14:paraId="25483EA6" w14:textId="77777777" w:rsidTr="006F58A5">
        <w:trPr>
          <w:trHeight w:val="150"/>
          <w:jc w:val="center"/>
        </w:trPr>
        <w:tc>
          <w:tcPr>
            <w:tcW w:w="3358" w:type="dxa"/>
          </w:tcPr>
          <w:p w14:paraId="2A69F6CF" w14:textId="7180F1A7" w:rsidR="006F58A5" w:rsidRPr="00B20D6C" w:rsidRDefault="006F58A5" w:rsidP="00B261C9">
            <w:pPr>
              <w:tabs>
                <w:tab w:val="left" w:pos="1800"/>
              </w:tabs>
              <w:autoSpaceDE w:val="0"/>
              <w:autoSpaceDN w:val="0"/>
              <w:adjustRightInd w:val="0"/>
              <w:rPr>
                <w:rFonts w:ascii="Times New Roman" w:hAnsi="Times New Roman"/>
              </w:rPr>
            </w:pPr>
          </w:p>
        </w:tc>
        <w:tc>
          <w:tcPr>
            <w:tcW w:w="3203" w:type="dxa"/>
          </w:tcPr>
          <w:p w14:paraId="3E2E39AB" w14:textId="06CFEB42"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0E672021" w14:textId="62418674" w:rsidR="006F58A5" w:rsidRPr="00B20D6C" w:rsidRDefault="006F58A5" w:rsidP="00B20D6C">
            <w:pPr>
              <w:tabs>
                <w:tab w:val="left" w:pos="1800"/>
              </w:tabs>
              <w:autoSpaceDE w:val="0"/>
              <w:autoSpaceDN w:val="0"/>
              <w:adjustRightInd w:val="0"/>
              <w:rPr>
                <w:rFonts w:ascii="Times New Roman" w:hAnsi="Times New Roman"/>
              </w:rPr>
            </w:pPr>
          </w:p>
        </w:tc>
      </w:tr>
      <w:tr w:rsidR="006F58A5" w:rsidRPr="00B261C9" w14:paraId="32F0F18F" w14:textId="77777777" w:rsidTr="0063003F">
        <w:trPr>
          <w:trHeight w:val="170"/>
          <w:jc w:val="center"/>
        </w:trPr>
        <w:tc>
          <w:tcPr>
            <w:tcW w:w="3358" w:type="dxa"/>
          </w:tcPr>
          <w:p w14:paraId="64B4888B" w14:textId="0CCA5EB5" w:rsidR="006F58A5" w:rsidRPr="00B20D6C" w:rsidRDefault="006F58A5" w:rsidP="00B261C9">
            <w:pPr>
              <w:tabs>
                <w:tab w:val="left" w:pos="1800"/>
              </w:tabs>
              <w:autoSpaceDE w:val="0"/>
              <w:autoSpaceDN w:val="0"/>
              <w:adjustRightInd w:val="0"/>
              <w:rPr>
                <w:rFonts w:ascii="Times New Roman" w:hAnsi="Times New Roman"/>
              </w:rPr>
            </w:pPr>
          </w:p>
        </w:tc>
        <w:tc>
          <w:tcPr>
            <w:tcW w:w="3203" w:type="dxa"/>
          </w:tcPr>
          <w:p w14:paraId="7CE72E4F" w14:textId="3CFB391A" w:rsidR="006F58A5" w:rsidRPr="00B20D6C" w:rsidRDefault="006F58A5" w:rsidP="00B20D6C">
            <w:pPr>
              <w:tabs>
                <w:tab w:val="left" w:pos="1800"/>
              </w:tabs>
              <w:autoSpaceDE w:val="0"/>
              <w:autoSpaceDN w:val="0"/>
              <w:adjustRightInd w:val="0"/>
              <w:rPr>
                <w:rFonts w:ascii="Times New Roman" w:hAnsi="Times New Roman"/>
              </w:rPr>
            </w:pPr>
          </w:p>
        </w:tc>
        <w:tc>
          <w:tcPr>
            <w:tcW w:w="3193" w:type="dxa"/>
          </w:tcPr>
          <w:p w14:paraId="4BE88988" w14:textId="7AC39A16" w:rsidR="006F58A5" w:rsidRPr="00B20D6C" w:rsidRDefault="006F58A5" w:rsidP="00B20D6C">
            <w:pPr>
              <w:tabs>
                <w:tab w:val="left" w:pos="1800"/>
              </w:tabs>
              <w:autoSpaceDE w:val="0"/>
              <w:autoSpaceDN w:val="0"/>
              <w:adjustRightInd w:val="0"/>
              <w:rPr>
                <w:rFonts w:ascii="Times New Roman" w:hAnsi="Times New Roman"/>
              </w:rPr>
            </w:pPr>
          </w:p>
        </w:tc>
      </w:tr>
      <w:tr w:rsidR="0063003F" w:rsidRPr="00B261C9" w14:paraId="2B3FAE44" w14:textId="77777777" w:rsidTr="006F58A5">
        <w:trPr>
          <w:trHeight w:val="150"/>
          <w:jc w:val="center"/>
        </w:trPr>
        <w:tc>
          <w:tcPr>
            <w:tcW w:w="3358" w:type="dxa"/>
          </w:tcPr>
          <w:p w14:paraId="7A1E1ACA" w14:textId="4F4B4EA1"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6FF6C1FF" w14:textId="78E39EAD"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687D5556" w14:textId="4AA00B70"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296A862A" w14:textId="77777777" w:rsidTr="006F58A5">
        <w:trPr>
          <w:trHeight w:val="150"/>
          <w:jc w:val="center"/>
        </w:trPr>
        <w:tc>
          <w:tcPr>
            <w:tcW w:w="3358" w:type="dxa"/>
          </w:tcPr>
          <w:p w14:paraId="1165F834" w14:textId="08A886E5"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0FEF9818" w14:textId="01C1F389"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75AA82D8" w14:textId="17145307"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1DDF536D" w14:textId="77777777" w:rsidTr="006F58A5">
        <w:trPr>
          <w:trHeight w:val="150"/>
          <w:jc w:val="center"/>
        </w:trPr>
        <w:tc>
          <w:tcPr>
            <w:tcW w:w="3358" w:type="dxa"/>
          </w:tcPr>
          <w:p w14:paraId="14DAC28C" w14:textId="451387B0"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27663C31" w14:textId="275A0F8E"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181FFAA5" w14:textId="444BB48B" w:rsidR="0063003F" w:rsidRPr="00B20D6C" w:rsidRDefault="0063003F" w:rsidP="0063003F">
            <w:pPr>
              <w:tabs>
                <w:tab w:val="left" w:pos="1800"/>
              </w:tabs>
              <w:autoSpaceDE w:val="0"/>
              <w:autoSpaceDN w:val="0"/>
              <w:adjustRightInd w:val="0"/>
              <w:rPr>
                <w:rFonts w:ascii="Times New Roman" w:hAnsi="Times New Roman"/>
              </w:rPr>
            </w:pPr>
          </w:p>
        </w:tc>
      </w:tr>
      <w:tr w:rsidR="0063003F" w:rsidRPr="00B261C9" w14:paraId="272F67A6" w14:textId="77777777" w:rsidTr="006F58A5">
        <w:trPr>
          <w:trHeight w:val="150"/>
          <w:jc w:val="center"/>
        </w:trPr>
        <w:tc>
          <w:tcPr>
            <w:tcW w:w="3358" w:type="dxa"/>
          </w:tcPr>
          <w:p w14:paraId="58E38574" w14:textId="3CAE0742" w:rsidR="0063003F" w:rsidRPr="00B20D6C" w:rsidRDefault="0063003F" w:rsidP="0063003F">
            <w:pPr>
              <w:tabs>
                <w:tab w:val="left" w:pos="1800"/>
              </w:tabs>
              <w:autoSpaceDE w:val="0"/>
              <w:autoSpaceDN w:val="0"/>
              <w:adjustRightInd w:val="0"/>
              <w:rPr>
                <w:rFonts w:ascii="Times New Roman" w:hAnsi="Times New Roman"/>
              </w:rPr>
            </w:pPr>
          </w:p>
        </w:tc>
        <w:tc>
          <w:tcPr>
            <w:tcW w:w="3203" w:type="dxa"/>
          </w:tcPr>
          <w:p w14:paraId="2B83A110" w14:textId="2A593E0B" w:rsidR="0063003F" w:rsidRPr="00B20D6C" w:rsidRDefault="0063003F" w:rsidP="0063003F">
            <w:pPr>
              <w:tabs>
                <w:tab w:val="left" w:pos="1800"/>
              </w:tabs>
              <w:autoSpaceDE w:val="0"/>
              <w:autoSpaceDN w:val="0"/>
              <w:adjustRightInd w:val="0"/>
              <w:rPr>
                <w:rFonts w:ascii="Times New Roman" w:hAnsi="Times New Roman"/>
              </w:rPr>
            </w:pPr>
          </w:p>
        </w:tc>
        <w:tc>
          <w:tcPr>
            <w:tcW w:w="3193" w:type="dxa"/>
          </w:tcPr>
          <w:p w14:paraId="73C6A831" w14:textId="19494142" w:rsidR="0063003F" w:rsidRPr="00B20D6C" w:rsidRDefault="0063003F" w:rsidP="0063003F">
            <w:pPr>
              <w:tabs>
                <w:tab w:val="left" w:pos="1800"/>
              </w:tabs>
              <w:autoSpaceDE w:val="0"/>
              <w:autoSpaceDN w:val="0"/>
              <w:adjustRightInd w:val="0"/>
              <w:rPr>
                <w:rFonts w:ascii="Times New Roman" w:hAnsi="Times New Roman"/>
              </w:rPr>
            </w:pPr>
          </w:p>
        </w:tc>
      </w:tr>
      <w:tr w:rsidR="004A3C18" w:rsidRPr="00B261C9" w14:paraId="0ADCDBBC" w14:textId="77777777" w:rsidTr="006F58A5">
        <w:trPr>
          <w:trHeight w:val="150"/>
          <w:jc w:val="center"/>
        </w:trPr>
        <w:tc>
          <w:tcPr>
            <w:tcW w:w="3358" w:type="dxa"/>
          </w:tcPr>
          <w:p w14:paraId="01595C7E" w14:textId="102E7CA3" w:rsidR="004A3C18" w:rsidRDefault="004A3C18" w:rsidP="004A3C18">
            <w:pPr>
              <w:tabs>
                <w:tab w:val="left" w:pos="1800"/>
              </w:tabs>
              <w:autoSpaceDE w:val="0"/>
              <w:autoSpaceDN w:val="0"/>
              <w:adjustRightInd w:val="0"/>
              <w:rPr>
                <w:rFonts w:ascii="Times New Roman" w:hAnsi="Times New Roman"/>
              </w:rPr>
            </w:pPr>
          </w:p>
        </w:tc>
        <w:tc>
          <w:tcPr>
            <w:tcW w:w="3203" w:type="dxa"/>
          </w:tcPr>
          <w:p w14:paraId="5C3E0286" w14:textId="2CA9FBD2" w:rsidR="004A3C18" w:rsidRDefault="004A3C18" w:rsidP="004A3C18">
            <w:pPr>
              <w:tabs>
                <w:tab w:val="left" w:pos="1800"/>
              </w:tabs>
              <w:autoSpaceDE w:val="0"/>
              <w:autoSpaceDN w:val="0"/>
              <w:adjustRightInd w:val="0"/>
              <w:rPr>
                <w:rFonts w:ascii="Times New Roman" w:hAnsi="Times New Roman"/>
              </w:rPr>
            </w:pPr>
          </w:p>
        </w:tc>
        <w:tc>
          <w:tcPr>
            <w:tcW w:w="3193" w:type="dxa"/>
          </w:tcPr>
          <w:p w14:paraId="51F3A3B9" w14:textId="7B5951F4"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434ADAAD" w14:textId="77777777" w:rsidTr="006F58A5">
        <w:trPr>
          <w:trHeight w:val="150"/>
          <w:jc w:val="center"/>
        </w:trPr>
        <w:tc>
          <w:tcPr>
            <w:tcW w:w="3358" w:type="dxa"/>
          </w:tcPr>
          <w:p w14:paraId="57A6A194" w14:textId="3047BD14" w:rsidR="004A3C18" w:rsidRDefault="004A3C18" w:rsidP="004A3C18">
            <w:pPr>
              <w:tabs>
                <w:tab w:val="left" w:pos="1800"/>
              </w:tabs>
              <w:autoSpaceDE w:val="0"/>
              <w:autoSpaceDN w:val="0"/>
              <w:adjustRightInd w:val="0"/>
              <w:rPr>
                <w:rFonts w:ascii="Times New Roman" w:hAnsi="Times New Roman"/>
              </w:rPr>
            </w:pPr>
          </w:p>
        </w:tc>
        <w:tc>
          <w:tcPr>
            <w:tcW w:w="3203" w:type="dxa"/>
          </w:tcPr>
          <w:p w14:paraId="2E91970A" w14:textId="03CB7B59" w:rsidR="004A3C18" w:rsidRDefault="004A3C18" w:rsidP="004A3C18">
            <w:pPr>
              <w:tabs>
                <w:tab w:val="left" w:pos="1800"/>
              </w:tabs>
              <w:autoSpaceDE w:val="0"/>
              <w:autoSpaceDN w:val="0"/>
              <w:adjustRightInd w:val="0"/>
              <w:rPr>
                <w:rFonts w:ascii="Times New Roman" w:hAnsi="Times New Roman"/>
              </w:rPr>
            </w:pPr>
          </w:p>
        </w:tc>
        <w:tc>
          <w:tcPr>
            <w:tcW w:w="3193" w:type="dxa"/>
          </w:tcPr>
          <w:p w14:paraId="225C202B" w14:textId="6270286B"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107994F" w14:textId="77777777" w:rsidTr="006F58A5">
        <w:trPr>
          <w:trHeight w:val="150"/>
          <w:jc w:val="center"/>
        </w:trPr>
        <w:tc>
          <w:tcPr>
            <w:tcW w:w="3358" w:type="dxa"/>
          </w:tcPr>
          <w:p w14:paraId="223E9162" w14:textId="12906B34" w:rsidR="004A3C18" w:rsidRDefault="004A3C18" w:rsidP="004A3C18">
            <w:pPr>
              <w:tabs>
                <w:tab w:val="left" w:pos="1800"/>
              </w:tabs>
              <w:autoSpaceDE w:val="0"/>
              <w:autoSpaceDN w:val="0"/>
              <w:adjustRightInd w:val="0"/>
              <w:rPr>
                <w:rFonts w:ascii="Times New Roman" w:hAnsi="Times New Roman"/>
              </w:rPr>
            </w:pPr>
          </w:p>
        </w:tc>
        <w:tc>
          <w:tcPr>
            <w:tcW w:w="3203" w:type="dxa"/>
          </w:tcPr>
          <w:p w14:paraId="555C0E34" w14:textId="2CB40E2C" w:rsidR="004A3C18" w:rsidRDefault="004A3C18" w:rsidP="004A3C18">
            <w:pPr>
              <w:tabs>
                <w:tab w:val="left" w:pos="1800"/>
              </w:tabs>
              <w:autoSpaceDE w:val="0"/>
              <w:autoSpaceDN w:val="0"/>
              <w:adjustRightInd w:val="0"/>
              <w:rPr>
                <w:rFonts w:ascii="Times New Roman" w:hAnsi="Times New Roman"/>
              </w:rPr>
            </w:pPr>
          </w:p>
        </w:tc>
        <w:tc>
          <w:tcPr>
            <w:tcW w:w="3193" w:type="dxa"/>
          </w:tcPr>
          <w:p w14:paraId="4799C42C" w14:textId="4B2D8780"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FAFDA5B" w14:textId="77777777" w:rsidTr="006F58A5">
        <w:trPr>
          <w:trHeight w:val="150"/>
          <w:jc w:val="center"/>
        </w:trPr>
        <w:tc>
          <w:tcPr>
            <w:tcW w:w="3358" w:type="dxa"/>
          </w:tcPr>
          <w:p w14:paraId="0284803B" w14:textId="08260D45" w:rsidR="004A3C18" w:rsidRDefault="004A3C18" w:rsidP="004A3C18">
            <w:pPr>
              <w:tabs>
                <w:tab w:val="left" w:pos="1800"/>
              </w:tabs>
              <w:autoSpaceDE w:val="0"/>
              <w:autoSpaceDN w:val="0"/>
              <w:adjustRightInd w:val="0"/>
              <w:rPr>
                <w:rFonts w:ascii="Times New Roman" w:hAnsi="Times New Roman"/>
              </w:rPr>
            </w:pPr>
          </w:p>
        </w:tc>
        <w:tc>
          <w:tcPr>
            <w:tcW w:w="3203" w:type="dxa"/>
          </w:tcPr>
          <w:p w14:paraId="3038183F" w14:textId="05F0F650" w:rsidR="004A3C18" w:rsidRDefault="004A3C18" w:rsidP="004A3C18">
            <w:pPr>
              <w:tabs>
                <w:tab w:val="left" w:pos="1800"/>
              </w:tabs>
              <w:autoSpaceDE w:val="0"/>
              <w:autoSpaceDN w:val="0"/>
              <w:adjustRightInd w:val="0"/>
              <w:rPr>
                <w:rFonts w:ascii="Times New Roman" w:hAnsi="Times New Roman"/>
              </w:rPr>
            </w:pPr>
          </w:p>
        </w:tc>
        <w:tc>
          <w:tcPr>
            <w:tcW w:w="3193" w:type="dxa"/>
          </w:tcPr>
          <w:p w14:paraId="7307074C" w14:textId="496D6CBA"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E4A7DE9" w14:textId="77777777" w:rsidTr="006F58A5">
        <w:trPr>
          <w:trHeight w:val="150"/>
          <w:jc w:val="center"/>
        </w:trPr>
        <w:tc>
          <w:tcPr>
            <w:tcW w:w="3358" w:type="dxa"/>
          </w:tcPr>
          <w:p w14:paraId="7E49F87B" w14:textId="75F400D8" w:rsidR="004A3C18" w:rsidRDefault="004A3C18" w:rsidP="004A3C18">
            <w:pPr>
              <w:tabs>
                <w:tab w:val="left" w:pos="1800"/>
              </w:tabs>
              <w:autoSpaceDE w:val="0"/>
              <w:autoSpaceDN w:val="0"/>
              <w:adjustRightInd w:val="0"/>
              <w:rPr>
                <w:rFonts w:ascii="Times New Roman" w:hAnsi="Times New Roman"/>
              </w:rPr>
            </w:pPr>
          </w:p>
        </w:tc>
        <w:tc>
          <w:tcPr>
            <w:tcW w:w="3203" w:type="dxa"/>
          </w:tcPr>
          <w:p w14:paraId="76CE9498" w14:textId="0CBAD116" w:rsidR="004A3C18" w:rsidRDefault="004A3C18" w:rsidP="004A3C18">
            <w:pPr>
              <w:tabs>
                <w:tab w:val="left" w:pos="1800"/>
              </w:tabs>
              <w:autoSpaceDE w:val="0"/>
              <w:autoSpaceDN w:val="0"/>
              <w:adjustRightInd w:val="0"/>
              <w:rPr>
                <w:rFonts w:ascii="Times New Roman" w:hAnsi="Times New Roman"/>
              </w:rPr>
            </w:pPr>
          </w:p>
        </w:tc>
        <w:tc>
          <w:tcPr>
            <w:tcW w:w="3193" w:type="dxa"/>
          </w:tcPr>
          <w:p w14:paraId="6E278C9E" w14:textId="36D7B801"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9F7390E" w14:textId="77777777" w:rsidTr="006F58A5">
        <w:trPr>
          <w:trHeight w:val="150"/>
          <w:jc w:val="center"/>
        </w:trPr>
        <w:tc>
          <w:tcPr>
            <w:tcW w:w="3358" w:type="dxa"/>
          </w:tcPr>
          <w:p w14:paraId="570E2DD0" w14:textId="3CB190D7" w:rsidR="004A3C18" w:rsidRDefault="004A3C18" w:rsidP="004A3C18">
            <w:pPr>
              <w:tabs>
                <w:tab w:val="left" w:pos="1800"/>
              </w:tabs>
              <w:autoSpaceDE w:val="0"/>
              <w:autoSpaceDN w:val="0"/>
              <w:adjustRightInd w:val="0"/>
              <w:rPr>
                <w:rFonts w:ascii="Times New Roman" w:hAnsi="Times New Roman"/>
              </w:rPr>
            </w:pPr>
          </w:p>
        </w:tc>
        <w:tc>
          <w:tcPr>
            <w:tcW w:w="3203" w:type="dxa"/>
          </w:tcPr>
          <w:p w14:paraId="5600624C" w14:textId="78465180" w:rsidR="004A3C18" w:rsidRDefault="004A3C18" w:rsidP="004A3C18">
            <w:pPr>
              <w:tabs>
                <w:tab w:val="left" w:pos="1800"/>
              </w:tabs>
              <w:autoSpaceDE w:val="0"/>
              <w:autoSpaceDN w:val="0"/>
              <w:adjustRightInd w:val="0"/>
              <w:rPr>
                <w:rFonts w:ascii="Times New Roman" w:hAnsi="Times New Roman"/>
              </w:rPr>
            </w:pPr>
          </w:p>
        </w:tc>
        <w:tc>
          <w:tcPr>
            <w:tcW w:w="3193" w:type="dxa"/>
          </w:tcPr>
          <w:p w14:paraId="67C7E05D" w14:textId="2CD16617"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1D79E751" w14:textId="77777777" w:rsidTr="006F58A5">
        <w:trPr>
          <w:trHeight w:val="150"/>
          <w:jc w:val="center"/>
        </w:trPr>
        <w:tc>
          <w:tcPr>
            <w:tcW w:w="3358" w:type="dxa"/>
          </w:tcPr>
          <w:p w14:paraId="102A1EFD" w14:textId="0AF94C80" w:rsidR="004A3C18" w:rsidRDefault="004A3C18" w:rsidP="004A3C18">
            <w:pPr>
              <w:tabs>
                <w:tab w:val="left" w:pos="1800"/>
              </w:tabs>
              <w:autoSpaceDE w:val="0"/>
              <w:autoSpaceDN w:val="0"/>
              <w:adjustRightInd w:val="0"/>
              <w:rPr>
                <w:rFonts w:ascii="Times New Roman" w:hAnsi="Times New Roman"/>
              </w:rPr>
            </w:pPr>
          </w:p>
        </w:tc>
        <w:tc>
          <w:tcPr>
            <w:tcW w:w="3203" w:type="dxa"/>
          </w:tcPr>
          <w:p w14:paraId="3AF39359" w14:textId="56AB76CC" w:rsidR="004A3C18" w:rsidRDefault="004A3C18" w:rsidP="004A3C18">
            <w:pPr>
              <w:tabs>
                <w:tab w:val="left" w:pos="1800"/>
              </w:tabs>
              <w:autoSpaceDE w:val="0"/>
              <w:autoSpaceDN w:val="0"/>
              <w:adjustRightInd w:val="0"/>
              <w:rPr>
                <w:rFonts w:ascii="Times New Roman" w:hAnsi="Times New Roman"/>
              </w:rPr>
            </w:pPr>
          </w:p>
        </w:tc>
        <w:tc>
          <w:tcPr>
            <w:tcW w:w="3193" w:type="dxa"/>
          </w:tcPr>
          <w:p w14:paraId="2D688317" w14:textId="030E4CF8"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78788B15" w14:textId="77777777" w:rsidTr="006F58A5">
        <w:trPr>
          <w:trHeight w:val="150"/>
          <w:jc w:val="center"/>
        </w:trPr>
        <w:tc>
          <w:tcPr>
            <w:tcW w:w="3358" w:type="dxa"/>
          </w:tcPr>
          <w:p w14:paraId="5AEBA4D8" w14:textId="54AE28AC" w:rsidR="004A3C18" w:rsidRDefault="004A3C18" w:rsidP="004A3C18">
            <w:pPr>
              <w:tabs>
                <w:tab w:val="left" w:pos="1800"/>
              </w:tabs>
              <w:autoSpaceDE w:val="0"/>
              <w:autoSpaceDN w:val="0"/>
              <w:adjustRightInd w:val="0"/>
              <w:rPr>
                <w:rFonts w:ascii="Times New Roman" w:hAnsi="Times New Roman"/>
              </w:rPr>
            </w:pPr>
          </w:p>
        </w:tc>
        <w:tc>
          <w:tcPr>
            <w:tcW w:w="3203" w:type="dxa"/>
          </w:tcPr>
          <w:p w14:paraId="1D1FC604" w14:textId="13418C40" w:rsidR="004A3C18" w:rsidRDefault="004A3C18" w:rsidP="004A3C18">
            <w:pPr>
              <w:tabs>
                <w:tab w:val="left" w:pos="1800"/>
              </w:tabs>
              <w:autoSpaceDE w:val="0"/>
              <w:autoSpaceDN w:val="0"/>
              <w:adjustRightInd w:val="0"/>
              <w:rPr>
                <w:rFonts w:ascii="Times New Roman" w:hAnsi="Times New Roman"/>
              </w:rPr>
            </w:pPr>
          </w:p>
        </w:tc>
        <w:tc>
          <w:tcPr>
            <w:tcW w:w="3193" w:type="dxa"/>
          </w:tcPr>
          <w:p w14:paraId="66FC4F3B" w14:textId="18F8938F"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2D510B6C" w14:textId="77777777" w:rsidTr="006F58A5">
        <w:trPr>
          <w:trHeight w:val="150"/>
          <w:jc w:val="center"/>
        </w:trPr>
        <w:tc>
          <w:tcPr>
            <w:tcW w:w="3358" w:type="dxa"/>
          </w:tcPr>
          <w:p w14:paraId="4B444FDC" w14:textId="04E37282" w:rsidR="004A3C18" w:rsidRDefault="004A3C18" w:rsidP="004A3C18">
            <w:pPr>
              <w:tabs>
                <w:tab w:val="left" w:pos="1800"/>
              </w:tabs>
              <w:autoSpaceDE w:val="0"/>
              <w:autoSpaceDN w:val="0"/>
              <w:adjustRightInd w:val="0"/>
              <w:rPr>
                <w:rFonts w:ascii="Times New Roman" w:hAnsi="Times New Roman"/>
              </w:rPr>
            </w:pPr>
          </w:p>
        </w:tc>
        <w:tc>
          <w:tcPr>
            <w:tcW w:w="3203" w:type="dxa"/>
          </w:tcPr>
          <w:p w14:paraId="16B88E0E" w14:textId="1F150813" w:rsidR="004A3C18" w:rsidRDefault="004A3C18" w:rsidP="004A3C18">
            <w:pPr>
              <w:tabs>
                <w:tab w:val="left" w:pos="1800"/>
              </w:tabs>
              <w:autoSpaceDE w:val="0"/>
              <w:autoSpaceDN w:val="0"/>
              <w:adjustRightInd w:val="0"/>
              <w:rPr>
                <w:rFonts w:ascii="Times New Roman" w:hAnsi="Times New Roman"/>
              </w:rPr>
            </w:pPr>
          </w:p>
        </w:tc>
        <w:tc>
          <w:tcPr>
            <w:tcW w:w="3193" w:type="dxa"/>
          </w:tcPr>
          <w:p w14:paraId="412E6E7A" w14:textId="385B3BE1"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522FAD7" w14:textId="77777777" w:rsidTr="006F58A5">
        <w:trPr>
          <w:trHeight w:val="150"/>
          <w:jc w:val="center"/>
        </w:trPr>
        <w:tc>
          <w:tcPr>
            <w:tcW w:w="3358" w:type="dxa"/>
          </w:tcPr>
          <w:p w14:paraId="4B128271" w14:textId="4709746D" w:rsidR="004A3C18" w:rsidRDefault="004A3C18" w:rsidP="004A3C18">
            <w:pPr>
              <w:tabs>
                <w:tab w:val="left" w:pos="1800"/>
              </w:tabs>
              <w:autoSpaceDE w:val="0"/>
              <w:autoSpaceDN w:val="0"/>
              <w:adjustRightInd w:val="0"/>
              <w:rPr>
                <w:rFonts w:ascii="Times New Roman" w:hAnsi="Times New Roman"/>
              </w:rPr>
            </w:pPr>
          </w:p>
        </w:tc>
        <w:tc>
          <w:tcPr>
            <w:tcW w:w="3203" w:type="dxa"/>
          </w:tcPr>
          <w:p w14:paraId="202300DE" w14:textId="0DD532C5" w:rsidR="004A3C18" w:rsidRDefault="004A3C18" w:rsidP="004A3C18">
            <w:pPr>
              <w:tabs>
                <w:tab w:val="left" w:pos="1800"/>
              </w:tabs>
              <w:autoSpaceDE w:val="0"/>
              <w:autoSpaceDN w:val="0"/>
              <w:adjustRightInd w:val="0"/>
              <w:rPr>
                <w:rFonts w:ascii="Times New Roman" w:hAnsi="Times New Roman"/>
              </w:rPr>
            </w:pPr>
          </w:p>
        </w:tc>
        <w:tc>
          <w:tcPr>
            <w:tcW w:w="3193" w:type="dxa"/>
          </w:tcPr>
          <w:p w14:paraId="79E519FD" w14:textId="24ACA225"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9015DAD" w14:textId="77777777" w:rsidTr="006F58A5">
        <w:trPr>
          <w:trHeight w:val="150"/>
          <w:jc w:val="center"/>
        </w:trPr>
        <w:tc>
          <w:tcPr>
            <w:tcW w:w="3358" w:type="dxa"/>
          </w:tcPr>
          <w:p w14:paraId="7D73ECD1" w14:textId="31F671DC" w:rsidR="004A3C18" w:rsidRDefault="004A3C18" w:rsidP="004A3C18">
            <w:pPr>
              <w:tabs>
                <w:tab w:val="left" w:pos="1800"/>
              </w:tabs>
              <w:autoSpaceDE w:val="0"/>
              <w:autoSpaceDN w:val="0"/>
              <w:adjustRightInd w:val="0"/>
              <w:rPr>
                <w:rFonts w:ascii="Times New Roman" w:hAnsi="Times New Roman"/>
              </w:rPr>
            </w:pPr>
          </w:p>
        </w:tc>
        <w:tc>
          <w:tcPr>
            <w:tcW w:w="3203" w:type="dxa"/>
          </w:tcPr>
          <w:p w14:paraId="635117CB" w14:textId="16576626" w:rsidR="004A3C18" w:rsidRDefault="004A3C18" w:rsidP="004A3C18">
            <w:pPr>
              <w:tabs>
                <w:tab w:val="left" w:pos="1800"/>
              </w:tabs>
              <w:autoSpaceDE w:val="0"/>
              <w:autoSpaceDN w:val="0"/>
              <w:adjustRightInd w:val="0"/>
              <w:rPr>
                <w:rFonts w:ascii="Times New Roman" w:hAnsi="Times New Roman"/>
              </w:rPr>
            </w:pPr>
          </w:p>
        </w:tc>
        <w:tc>
          <w:tcPr>
            <w:tcW w:w="3193" w:type="dxa"/>
          </w:tcPr>
          <w:p w14:paraId="390AA8FA" w14:textId="50C450AA" w:rsidR="004A3C18" w:rsidRPr="00B20D6C" w:rsidRDefault="004A3C18" w:rsidP="004A3C18">
            <w:pPr>
              <w:tabs>
                <w:tab w:val="left" w:pos="1800"/>
              </w:tabs>
              <w:autoSpaceDE w:val="0"/>
              <w:autoSpaceDN w:val="0"/>
              <w:adjustRightInd w:val="0"/>
              <w:rPr>
                <w:rFonts w:ascii="Times New Roman" w:hAnsi="Times New Roman"/>
              </w:rPr>
            </w:pPr>
          </w:p>
        </w:tc>
      </w:tr>
      <w:tr w:rsidR="004A3C18" w:rsidRPr="00B261C9" w14:paraId="6C02DC1D" w14:textId="77777777" w:rsidTr="006F58A5">
        <w:trPr>
          <w:trHeight w:val="150"/>
          <w:jc w:val="center"/>
        </w:trPr>
        <w:tc>
          <w:tcPr>
            <w:tcW w:w="3358" w:type="dxa"/>
          </w:tcPr>
          <w:p w14:paraId="62D20D64" w14:textId="77777777" w:rsidR="004A3C18" w:rsidRDefault="004A3C18" w:rsidP="004A3C18">
            <w:pPr>
              <w:tabs>
                <w:tab w:val="left" w:pos="1800"/>
              </w:tabs>
              <w:autoSpaceDE w:val="0"/>
              <w:autoSpaceDN w:val="0"/>
              <w:adjustRightInd w:val="0"/>
              <w:rPr>
                <w:rFonts w:ascii="Times New Roman" w:hAnsi="Times New Roman"/>
              </w:rPr>
            </w:pPr>
          </w:p>
        </w:tc>
        <w:tc>
          <w:tcPr>
            <w:tcW w:w="3203" w:type="dxa"/>
          </w:tcPr>
          <w:p w14:paraId="2F58A832" w14:textId="77777777" w:rsidR="004A3C18" w:rsidRDefault="004A3C18" w:rsidP="004A3C18">
            <w:pPr>
              <w:tabs>
                <w:tab w:val="left" w:pos="1800"/>
              </w:tabs>
              <w:autoSpaceDE w:val="0"/>
              <w:autoSpaceDN w:val="0"/>
              <w:adjustRightInd w:val="0"/>
              <w:rPr>
                <w:rFonts w:ascii="Times New Roman" w:hAnsi="Times New Roman"/>
              </w:rPr>
            </w:pPr>
          </w:p>
        </w:tc>
        <w:tc>
          <w:tcPr>
            <w:tcW w:w="3193" w:type="dxa"/>
          </w:tcPr>
          <w:p w14:paraId="77394B18" w14:textId="77777777" w:rsidR="004A3C18" w:rsidRPr="00B20D6C" w:rsidRDefault="004A3C18" w:rsidP="004A3C18">
            <w:pPr>
              <w:tabs>
                <w:tab w:val="left" w:pos="1800"/>
              </w:tabs>
              <w:autoSpaceDE w:val="0"/>
              <w:autoSpaceDN w:val="0"/>
              <w:adjustRightInd w:val="0"/>
              <w:rPr>
                <w:rFonts w:ascii="Times New Roman" w:hAnsi="Times New Roman"/>
              </w:rPr>
            </w:pPr>
          </w:p>
        </w:tc>
      </w:tr>
    </w:tbl>
    <w:p w14:paraId="1B903B04" w14:textId="0D1F0134" w:rsidR="00173F59" w:rsidRDefault="00173F59" w:rsidP="00B261C9">
      <w:pPr>
        <w:tabs>
          <w:tab w:val="left" w:pos="1800"/>
        </w:tabs>
        <w:autoSpaceDE w:val="0"/>
        <w:autoSpaceDN w:val="0"/>
        <w:adjustRightInd w:val="0"/>
        <w:rPr>
          <w:rFonts w:ascii="Times New Roman" w:hAnsi="Times New Roman"/>
        </w:rPr>
      </w:pPr>
    </w:p>
    <w:p w14:paraId="73D8B808" w14:textId="77777777" w:rsidR="006F58A5" w:rsidRPr="007C0232" w:rsidRDefault="006F58A5" w:rsidP="00B261C9">
      <w:pPr>
        <w:tabs>
          <w:tab w:val="left" w:pos="1800"/>
        </w:tabs>
        <w:autoSpaceDE w:val="0"/>
        <w:autoSpaceDN w:val="0"/>
        <w:adjustRightInd w:val="0"/>
        <w:rPr>
          <w:rFonts w:ascii="Times New Roman" w:hAnsi="Times New Roman"/>
        </w:rPr>
      </w:pPr>
    </w:p>
    <w:sectPr w:rsidR="006F58A5"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9ABC" w14:textId="77777777" w:rsidR="00E04CE3" w:rsidRDefault="00E04CE3">
      <w:r>
        <w:separator/>
      </w:r>
    </w:p>
  </w:endnote>
  <w:endnote w:type="continuationSeparator" w:id="0">
    <w:p w14:paraId="0D7CB371"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06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506B5E5"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078" w14:textId="0DDE5F3F"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275D1A">
      <w:rPr>
        <w:rFonts w:ascii="Arial" w:hAnsi="Arial" w:cs="Arial"/>
        <w:sz w:val="20"/>
        <w:szCs w:val="20"/>
      </w:rPr>
      <w:t>22</w:t>
    </w:r>
    <w:r w:rsidRPr="00D25C2E">
      <w:rPr>
        <w:rFonts w:ascii="Arial" w:hAnsi="Arial" w:cs="Arial"/>
        <w:sz w:val="20"/>
        <w:szCs w:val="20"/>
      </w:rPr>
      <w:t xml:space="preserve"> Kaplan, Inc.</w:t>
    </w:r>
  </w:p>
  <w:p w14:paraId="1775A6A2"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C193" w14:textId="77777777" w:rsidR="00E04CE3" w:rsidRDefault="00E04CE3">
      <w:r>
        <w:separator/>
      </w:r>
    </w:p>
  </w:footnote>
  <w:footnote w:type="continuationSeparator" w:id="0">
    <w:p w14:paraId="0F6292F0"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4950" w14:textId="46CC963A" w:rsidR="0094174A" w:rsidRPr="0094174A" w:rsidRDefault="008D4766" w:rsidP="0094174A">
    <w:pPr>
      <w:pStyle w:val="Header"/>
      <w:jc w:val="right"/>
      <w:rPr>
        <w:rFonts w:ascii="Arial" w:hAnsi="Arial" w:cs="Arial"/>
        <w:i/>
        <w:sz w:val="20"/>
        <w:szCs w:val="20"/>
      </w:rPr>
    </w:pPr>
    <w:r>
      <w:rPr>
        <w:rFonts w:ascii="Arial" w:hAnsi="Arial" w:cs="Arial"/>
        <w:i/>
        <w:sz w:val="20"/>
        <w:szCs w:val="20"/>
      </w:rPr>
      <w:t xml:space="preserve">Study Guide for </w:t>
    </w:r>
    <w:r w:rsidR="00B53503">
      <w:rPr>
        <w:rFonts w:ascii="Arial" w:hAnsi="Arial" w:cs="Arial"/>
        <w:i/>
        <w:sz w:val="20"/>
        <w:szCs w:val="20"/>
      </w:rPr>
      <w:t>Modern Real Estate Practice, 21</w:t>
    </w:r>
    <w:r w:rsidR="00B53503" w:rsidRPr="00B53503">
      <w:rPr>
        <w:rFonts w:ascii="Arial" w:hAnsi="Arial" w:cs="Arial"/>
        <w:i/>
        <w:sz w:val="20"/>
        <w:szCs w:val="20"/>
        <w:vertAlign w:val="superscript"/>
      </w:rPr>
      <w:t>st</w:t>
    </w:r>
    <w:r w:rsidR="00B53503">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E0DAB"/>
    <w:multiLevelType w:val="hybridMultilevel"/>
    <w:tmpl w:val="6E17AB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684AD"/>
    <w:multiLevelType w:val="hybridMultilevel"/>
    <w:tmpl w:val="F62592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2C32980"/>
    <w:multiLevelType w:val="hybridMultilevel"/>
    <w:tmpl w:val="4C796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8629E"/>
    <w:rsid w:val="00097E04"/>
    <w:rsid w:val="000D144B"/>
    <w:rsid w:val="001159C0"/>
    <w:rsid w:val="00173F59"/>
    <w:rsid w:val="001B1E7E"/>
    <w:rsid w:val="001B2187"/>
    <w:rsid w:val="00275D1A"/>
    <w:rsid w:val="002B00B8"/>
    <w:rsid w:val="002B6B68"/>
    <w:rsid w:val="00356FB2"/>
    <w:rsid w:val="003A467D"/>
    <w:rsid w:val="003D4AB7"/>
    <w:rsid w:val="003F134C"/>
    <w:rsid w:val="00400649"/>
    <w:rsid w:val="004147EB"/>
    <w:rsid w:val="00414AE1"/>
    <w:rsid w:val="0044429C"/>
    <w:rsid w:val="004A05EC"/>
    <w:rsid w:val="004A3C18"/>
    <w:rsid w:val="004E435E"/>
    <w:rsid w:val="004F1FBD"/>
    <w:rsid w:val="0053509D"/>
    <w:rsid w:val="005B5AB5"/>
    <w:rsid w:val="005B79D6"/>
    <w:rsid w:val="006217A0"/>
    <w:rsid w:val="0063003F"/>
    <w:rsid w:val="0068025B"/>
    <w:rsid w:val="006F4C05"/>
    <w:rsid w:val="006F58A5"/>
    <w:rsid w:val="00705BF4"/>
    <w:rsid w:val="007214B0"/>
    <w:rsid w:val="007C0232"/>
    <w:rsid w:val="00896A29"/>
    <w:rsid w:val="008D4766"/>
    <w:rsid w:val="00927FB5"/>
    <w:rsid w:val="0094174A"/>
    <w:rsid w:val="0099521C"/>
    <w:rsid w:val="00A410F8"/>
    <w:rsid w:val="00A54C6C"/>
    <w:rsid w:val="00AB5671"/>
    <w:rsid w:val="00AD6786"/>
    <w:rsid w:val="00AF33C8"/>
    <w:rsid w:val="00B20D6C"/>
    <w:rsid w:val="00B261C9"/>
    <w:rsid w:val="00B4617B"/>
    <w:rsid w:val="00B53503"/>
    <w:rsid w:val="00BF3FA6"/>
    <w:rsid w:val="00C26D47"/>
    <w:rsid w:val="00D00B2E"/>
    <w:rsid w:val="00D15438"/>
    <w:rsid w:val="00D70BAC"/>
    <w:rsid w:val="00D815DC"/>
    <w:rsid w:val="00DE2E72"/>
    <w:rsid w:val="00E04CE3"/>
    <w:rsid w:val="00E1651A"/>
    <w:rsid w:val="00E76CEE"/>
    <w:rsid w:val="00E9614D"/>
    <w:rsid w:val="00EF5DF7"/>
    <w:rsid w:val="00F000E2"/>
    <w:rsid w:val="00F1531C"/>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7D3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246</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6</cp:revision>
  <cp:lastPrinted>2006-08-18T16:15:00Z</cp:lastPrinted>
  <dcterms:created xsi:type="dcterms:W3CDTF">2022-09-26T17:53:00Z</dcterms:created>
  <dcterms:modified xsi:type="dcterms:W3CDTF">2023-05-15T21:32:00Z</dcterms:modified>
</cp:coreProperties>
</file>