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FE4F"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0736DAD2" w14:textId="77777777" w:rsidR="00173F59" w:rsidRDefault="00173F59" w:rsidP="00173F59">
      <w:pPr>
        <w:rPr>
          <w:rFonts w:ascii="Times New Roman" w:hAnsi="Times New Roman"/>
        </w:rPr>
      </w:pPr>
    </w:p>
    <w:p w14:paraId="5E755928" w14:textId="77777777" w:rsidR="0094174A" w:rsidRPr="007C0232" w:rsidRDefault="0094174A" w:rsidP="00173F59">
      <w:pPr>
        <w:rPr>
          <w:rFonts w:ascii="Times New Roman" w:hAnsi="Times New Roman"/>
        </w:rPr>
      </w:pPr>
    </w:p>
    <w:p w14:paraId="56EA31D4" w14:textId="77777777"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236807" w:rsidRPr="00236807">
        <w:rPr>
          <w:rFonts w:ascii="Times New Roman" w:hAnsi="Times New Roman"/>
          <w:i/>
        </w:rPr>
        <w:t>California Real Estate Finance 10th Edition</w:t>
      </w:r>
      <w:r w:rsidRPr="002B6B68">
        <w:rPr>
          <w:rFonts w:ascii="Times New Roman" w:hAnsi="Times New Roman"/>
        </w:rPr>
        <w:t>.</w:t>
      </w:r>
      <w:r w:rsidRPr="007C0232">
        <w:rPr>
          <w:rFonts w:ascii="Times New Roman" w:hAnsi="Times New Roman"/>
        </w:rPr>
        <w:t xml:space="preserve"> </w:t>
      </w:r>
    </w:p>
    <w:p w14:paraId="71866F86" w14:textId="77777777" w:rsidR="00173F59" w:rsidRDefault="00173F59" w:rsidP="00173F59">
      <w:pPr>
        <w:tabs>
          <w:tab w:val="left" w:pos="1800"/>
        </w:tabs>
        <w:autoSpaceDE w:val="0"/>
        <w:autoSpaceDN w:val="0"/>
        <w:adjustRightInd w:val="0"/>
        <w:rPr>
          <w:rFonts w:ascii="Times New Roman" w:hAnsi="Times New Roman"/>
          <w:b/>
        </w:rPr>
      </w:pPr>
    </w:p>
    <w:p w14:paraId="4D715BE5" w14:textId="77777777"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14:paraId="10DF2F8B" w14:textId="77777777" w:rsidR="00D00B2E" w:rsidRDefault="00D00B2E" w:rsidP="00173F59">
      <w:pPr>
        <w:tabs>
          <w:tab w:val="left" w:pos="1800"/>
        </w:tabs>
        <w:autoSpaceDE w:val="0"/>
        <w:autoSpaceDN w:val="0"/>
        <w:adjustRightInd w:val="0"/>
        <w:rPr>
          <w:rFonts w:ascii="Times New Roman" w:hAnsi="Times New Roman"/>
        </w:rPr>
      </w:pPr>
    </w:p>
    <w:p w14:paraId="5D2FA8AF" w14:textId="77777777"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3ACBF009" wp14:editId="3CC454B9">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14:paraId="08671C77" w14:textId="77777777"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14:paraId="6797FD45" w14:textId="77777777" w:rsidTr="00236807">
        <w:trPr>
          <w:trHeight w:val="144"/>
          <w:jc w:val="center"/>
        </w:trPr>
        <w:tc>
          <w:tcPr>
            <w:tcW w:w="3358" w:type="dxa"/>
            <w:shd w:val="clear" w:color="auto" w:fill="CCFFCC"/>
          </w:tcPr>
          <w:p w14:paraId="76BBC15E"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14:paraId="1BF61F92"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14:paraId="4C25F795"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D144D" w:rsidRPr="00B261C9" w14:paraId="47150D92" w14:textId="77777777" w:rsidTr="00236807">
        <w:trPr>
          <w:trHeight w:val="150"/>
          <w:jc w:val="center"/>
        </w:trPr>
        <w:tc>
          <w:tcPr>
            <w:tcW w:w="3358" w:type="dxa"/>
          </w:tcPr>
          <w:p w14:paraId="1F3C35EA" w14:textId="19A8B681"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108</w:t>
            </w:r>
          </w:p>
        </w:tc>
        <w:tc>
          <w:tcPr>
            <w:tcW w:w="3203" w:type="dxa"/>
          </w:tcPr>
          <w:p w14:paraId="252BC9D1" w14:textId="77777777" w:rsidR="00BD144D" w:rsidRPr="00BD144D" w:rsidRDefault="00BD144D" w:rsidP="00BD144D">
            <w:pPr>
              <w:rPr>
                <w:rFonts w:ascii="Times New Roman" w:hAnsi="Times New Roman"/>
              </w:rPr>
            </w:pPr>
            <w:r w:rsidRPr="00BD144D">
              <w:rPr>
                <w:rFonts w:ascii="Times New Roman" w:hAnsi="Times New Roman"/>
              </w:rPr>
              <w:t>Based on the 2019 tax law, which allows anyone to make an annual tax-free</w:t>
            </w:r>
          </w:p>
          <w:p w14:paraId="1BEA289A" w14:textId="77777777" w:rsidR="00BD144D" w:rsidRPr="00BD144D" w:rsidRDefault="00BD144D" w:rsidP="00BD144D">
            <w:pPr>
              <w:rPr>
                <w:rFonts w:ascii="Times New Roman" w:hAnsi="Times New Roman"/>
              </w:rPr>
            </w:pPr>
            <w:r w:rsidRPr="00BD144D">
              <w:rPr>
                <w:rFonts w:ascii="Times New Roman" w:hAnsi="Times New Roman"/>
              </w:rPr>
              <w:t>gift of $15,000, some parents can aid their children in purchasing a home.</w:t>
            </w:r>
          </w:p>
          <w:p w14:paraId="01244EFA" w14:textId="77777777" w:rsidR="00BD144D" w:rsidRPr="00BD144D" w:rsidRDefault="00BD144D" w:rsidP="00BD144D">
            <w:pPr>
              <w:rPr>
                <w:rFonts w:ascii="Times New Roman" w:hAnsi="Times New Roman"/>
              </w:rPr>
            </w:pPr>
            <w:r w:rsidRPr="00BD144D">
              <w:rPr>
                <w:rFonts w:ascii="Times New Roman" w:hAnsi="Times New Roman"/>
              </w:rPr>
              <w:t>A married couple could accept up to $60,000 in tax-free gifts—$15,000</w:t>
            </w:r>
          </w:p>
          <w:p w14:paraId="63ED1870" w14:textId="68F674AE" w:rsidR="00BD144D" w:rsidRPr="005C740F" w:rsidRDefault="00BD144D" w:rsidP="00BD144D">
            <w:pPr>
              <w:rPr>
                <w:rFonts w:ascii="Times New Roman" w:hAnsi="Times New Roman"/>
              </w:rPr>
            </w:pPr>
            <w:r w:rsidRPr="00BD144D">
              <w:rPr>
                <w:rFonts w:ascii="Times New Roman" w:hAnsi="Times New Roman"/>
              </w:rPr>
              <w:t>from each parent to each of the children.</w:t>
            </w:r>
          </w:p>
        </w:tc>
        <w:tc>
          <w:tcPr>
            <w:tcW w:w="3193" w:type="dxa"/>
          </w:tcPr>
          <w:p w14:paraId="336483D3"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19CF7700" w14:textId="0D3611CD" w:rsidR="00BD144D" w:rsidRPr="005C740F" w:rsidRDefault="00BD144D" w:rsidP="00BD144D">
            <w:pPr>
              <w:rPr>
                <w:rFonts w:ascii="Times New Roman" w:hAnsi="Times New Roman"/>
              </w:rPr>
            </w:pPr>
            <w:r w:rsidRPr="00BD144D">
              <w:rPr>
                <w:rFonts w:ascii="Goudy Oldstyle Std" w:hAnsi="Goudy Oldstyle Std"/>
                <w:color w:val="211D1E"/>
                <w:sz w:val="23"/>
                <w:szCs w:val="23"/>
              </w:rPr>
              <w:t>Based on the 20</w:t>
            </w:r>
            <w:r w:rsidRPr="00BD144D">
              <w:rPr>
                <w:rFonts w:ascii="Goudy Oldstyle Std" w:hAnsi="Goudy Oldstyle Std"/>
                <w:color w:val="211D1E"/>
                <w:sz w:val="23"/>
                <w:szCs w:val="23"/>
                <w:highlight w:val="yellow"/>
              </w:rPr>
              <w:t>24</w:t>
            </w:r>
            <w:r w:rsidRPr="00BD144D">
              <w:rPr>
                <w:rFonts w:ascii="Goudy Oldstyle Std" w:hAnsi="Goudy Oldstyle Std"/>
                <w:color w:val="211D1E"/>
                <w:sz w:val="23"/>
                <w:szCs w:val="23"/>
              </w:rPr>
              <w:t xml:space="preserve"> tax law, which allows anyone to make an annual tax-free gift of $1</w:t>
            </w:r>
            <w:r w:rsidRPr="00BD144D">
              <w:rPr>
                <w:rFonts w:ascii="Goudy Oldstyle Std" w:hAnsi="Goudy Oldstyle Std"/>
                <w:color w:val="211D1E"/>
                <w:sz w:val="23"/>
                <w:szCs w:val="23"/>
                <w:highlight w:val="yellow"/>
              </w:rPr>
              <w:t>8</w:t>
            </w:r>
            <w:r w:rsidRPr="00BD144D">
              <w:rPr>
                <w:rFonts w:ascii="Goudy Oldstyle Std" w:hAnsi="Goudy Oldstyle Std"/>
                <w:color w:val="211D1E"/>
                <w:sz w:val="23"/>
                <w:szCs w:val="23"/>
              </w:rPr>
              <w:t>,000, some parents can aid their children in purchasing a home. A married couple could accept up to $</w:t>
            </w:r>
            <w:r w:rsidRPr="00BD144D">
              <w:rPr>
                <w:rFonts w:ascii="Goudy Oldstyle Std" w:hAnsi="Goudy Oldstyle Std"/>
                <w:color w:val="211D1E"/>
                <w:sz w:val="23"/>
                <w:szCs w:val="23"/>
                <w:highlight w:val="yellow"/>
              </w:rPr>
              <w:t>72</w:t>
            </w:r>
            <w:r w:rsidRPr="00BD144D">
              <w:rPr>
                <w:rFonts w:ascii="Goudy Oldstyle Std" w:hAnsi="Goudy Oldstyle Std"/>
                <w:color w:val="211D1E"/>
                <w:sz w:val="23"/>
                <w:szCs w:val="23"/>
              </w:rPr>
              <w:t>,000 in tax-free gifts—$1</w:t>
            </w:r>
            <w:r w:rsidRPr="00BD144D">
              <w:rPr>
                <w:rFonts w:ascii="Goudy Oldstyle Std" w:hAnsi="Goudy Oldstyle Std"/>
                <w:color w:val="211D1E"/>
                <w:sz w:val="23"/>
                <w:szCs w:val="23"/>
                <w:highlight w:val="yellow"/>
              </w:rPr>
              <w:t>8</w:t>
            </w:r>
            <w:r w:rsidRPr="00BD144D">
              <w:rPr>
                <w:rFonts w:ascii="Goudy Oldstyle Std" w:hAnsi="Goudy Oldstyle Std"/>
                <w:color w:val="211D1E"/>
                <w:sz w:val="23"/>
                <w:szCs w:val="23"/>
              </w:rPr>
              <w:t>,000 from each parent to each of the children.</w:t>
            </w:r>
          </w:p>
        </w:tc>
      </w:tr>
      <w:tr w:rsidR="00BD144D" w:rsidRPr="00B261C9" w14:paraId="300CDA28" w14:textId="77777777" w:rsidTr="00236807">
        <w:trPr>
          <w:trHeight w:val="150"/>
          <w:jc w:val="center"/>
        </w:trPr>
        <w:tc>
          <w:tcPr>
            <w:tcW w:w="3358" w:type="dxa"/>
          </w:tcPr>
          <w:p w14:paraId="50312083" w14:textId="0D77140D"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138, Figure 5.2</w:t>
            </w:r>
          </w:p>
        </w:tc>
        <w:tc>
          <w:tcPr>
            <w:tcW w:w="3203" w:type="dxa"/>
          </w:tcPr>
          <w:p w14:paraId="26C48311" w14:textId="77777777" w:rsidR="00BD144D" w:rsidRPr="00BD144D" w:rsidRDefault="00BD144D" w:rsidP="00BD144D">
            <w:pPr>
              <w:autoSpaceDE w:val="0"/>
              <w:autoSpaceDN w:val="0"/>
              <w:adjustRightInd w:val="0"/>
              <w:rPr>
                <w:rFonts w:ascii="Helvetica LT Std Light" w:hAnsi="Helvetica LT Std Light" w:cs="Helvetica LT Std Light"/>
                <w:color w:val="00000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16"/>
              <w:gridCol w:w="2216"/>
              <w:gridCol w:w="2216"/>
            </w:tblGrid>
            <w:tr w:rsidR="00BD144D" w:rsidRPr="00BD144D" w14:paraId="30AABC7F" w14:textId="77777777">
              <w:trPr>
                <w:trHeight w:val="104"/>
              </w:trPr>
              <w:tc>
                <w:tcPr>
                  <w:tcW w:w="2216" w:type="dxa"/>
                  <w:tcBorders>
                    <w:top w:val="none" w:sz="6" w:space="0" w:color="auto"/>
                    <w:bottom w:val="none" w:sz="6" w:space="0" w:color="auto"/>
                    <w:right w:val="none" w:sz="6" w:space="0" w:color="auto"/>
                  </w:tcBorders>
                </w:tcPr>
                <w:p w14:paraId="5BE4EB2E"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Single Family </w:t>
                  </w:r>
                </w:p>
              </w:tc>
              <w:tc>
                <w:tcPr>
                  <w:tcW w:w="2216" w:type="dxa"/>
                  <w:tcBorders>
                    <w:top w:val="none" w:sz="6" w:space="0" w:color="auto"/>
                    <w:left w:val="none" w:sz="6" w:space="0" w:color="auto"/>
                    <w:bottom w:val="none" w:sz="6" w:space="0" w:color="auto"/>
                    <w:right w:val="none" w:sz="6" w:space="0" w:color="auto"/>
                  </w:tcBorders>
                </w:tcPr>
                <w:p w14:paraId="781F32E7"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$331,760 </w:t>
                  </w:r>
                </w:p>
              </w:tc>
              <w:tc>
                <w:tcPr>
                  <w:tcW w:w="2216" w:type="dxa"/>
                  <w:tcBorders>
                    <w:top w:val="none" w:sz="6" w:space="0" w:color="auto"/>
                    <w:left w:val="none" w:sz="6" w:space="0" w:color="auto"/>
                    <w:bottom w:val="none" w:sz="6" w:space="0" w:color="auto"/>
                  </w:tcBorders>
                </w:tcPr>
                <w:p w14:paraId="5FF0B709"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$765,600 </w:t>
                  </w:r>
                </w:p>
              </w:tc>
            </w:tr>
            <w:tr w:rsidR="00BD144D" w:rsidRPr="00BD144D" w14:paraId="71DB3E67" w14:textId="77777777">
              <w:trPr>
                <w:trHeight w:val="104"/>
              </w:trPr>
              <w:tc>
                <w:tcPr>
                  <w:tcW w:w="2216" w:type="dxa"/>
                  <w:tcBorders>
                    <w:top w:val="none" w:sz="6" w:space="0" w:color="auto"/>
                    <w:bottom w:val="none" w:sz="6" w:space="0" w:color="auto"/>
                    <w:right w:val="none" w:sz="6" w:space="0" w:color="auto"/>
                  </w:tcBorders>
                </w:tcPr>
                <w:p w14:paraId="210E2104"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Duplex </w:t>
                  </w:r>
                </w:p>
              </w:tc>
              <w:tc>
                <w:tcPr>
                  <w:tcW w:w="2216" w:type="dxa"/>
                  <w:tcBorders>
                    <w:top w:val="none" w:sz="6" w:space="0" w:color="auto"/>
                    <w:left w:val="none" w:sz="6" w:space="0" w:color="auto"/>
                    <w:bottom w:val="none" w:sz="6" w:space="0" w:color="auto"/>
                    <w:right w:val="none" w:sz="6" w:space="0" w:color="auto"/>
                  </w:tcBorders>
                </w:tcPr>
                <w:p w14:paraId="361557DE"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424,800 </w:t>
                  </w:r>
                </w:p>
              </w:tc>
              <w:tc>
                <w:tcPr>
                  <w:tcW w:w="2216" w:type="dxa"/>
                  <w:tcBorders>
                    <w:top w:val="none" w:sz="6" w:space="0" w:color="auto"/>
                    <w:left w:val="none" w:sz="6" w:space="0" w:color="auto"/>
                    <w:bottom w:val="none" w:sz="6" w:space="0" w:color="auto"/>
                  </w:tcBorders>
                </w:tcPr>
                <w:p w14:paraId="6BD8A913"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980,325 </w:t>
                  </w:r>
                </w:p>
              </w:tc>
            </w:tr>
            <w:tr w:rsidR="00BD144D" w:rsidRPr="00BD144D" w14:paraId="2F450E51" w14:textId="77777777">
              <w:trPr>
                <w:trHeight w:val="104"/>
              </w:trPr>
              <w:tc>
                <w:tcPr>
                  <w:tcW w:w="2216" w:type="dxa"/>
                  <w:tcBorders>
                    <w:top w:val="none" w:sz="6" w:space="0" w:color="auto"/>
                    <w:bottom w:val="none" w:sz="6" w:space="0" w:color="auto"/>
                    <w:right w:val="none" w:sz="6" w:space="0" w:color="auto"/>
                  </w:tcBorders>
                </w:tcPr>
                <w:p w14:paraId="02F5E30B"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Triplex </w:t>
                  </w:r>
                </w:p>
              </w:tc>
              <w:tc>
                <w:tcPr>
                  <w:tcW w:w="2216" w:type="dxa"/>
                  <w:tcBorders>
                    <w:top w:val="none" w:sz="6" w:space="0" w:color="auto"/>
                    <w:left w:val="none" w:sz="6" w:space="0" w:color="auto"/>
                    <w:bottom w:val="none" w:sz="6" w:space="0" w:color="auto"/>
                    <w:right w:val="none" w:sz="6" w:space="0" w:color="auto"/>
                  </w:tcBorders>
                </w:tcPr>
                <w:p w14:paraId="2E13C695"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513,450 </w:t>
                  </w:r>
                </w:p>
              </w:tc>
              <w:tc>
                <w:tcPr>
                  <w:tcW w:w="2216" w:type="dxa"/>
                  <w:tcBorders>
                    <w:top w:val="none" w:sz="6" w:space="0" w:color="auto"/>
                    <w:left w:val="none" w:sz="6" w:space="0" w:color="auto"/>
                    <w:bottom w:val="none" w:sz="6" w:space="0" w:color="auto"/>
                  </w:tcBorders>
                </w:tcPr>
                <w:p w14:paraId="47B614B4"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1,184,925 </w:t>
                  </w:r>
                </w:p>
              </w:tc>
            </w:tr>
            <w:tr w:rsidR="00BD144D" w:rsidRPr="00BD144D" w14:paraId="7C30E5F4" w14:textId="77777777">
              <w:trPr>
                <w:trHeight w:val="104"/>
              </w:trPr>
              <w:tc>
                <w:tcPr>
                  <w:tcW w:w="2216" w:type="dxa"/>
                  <w:tcBorders>
                    <w:top w:val="none" w:sz="6" w:space="0" w:color="auto"/>
                    <w:bottom w:val="none" w:sz="6" w:space="0" w:color="auto"/>
                    <w:right w:val="none" w:sz="6" w:space="0" w:color="auto"/>
                  </w:tcBorders>
                </w:tcPr>
                <w:p w14:paraId="0742F380"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Four Units </w:t>
                  </w:r>
                </w:p>
              </w:tc>
              <w:tc>
                <w:tcPr>
                  <w:tcW w:w="2216" w:type="dxa"/>
                  <w:tcBorders>
                    <w:top w:val="none" w:sz="6" w:space="0" w:color="auto"/>
                    <w:left w:val="none" w:sz="6" w:space="0" w:color="auto"/>
                    <w:bottom w:val="none" w:sz="6" w:space="0" w:color="auto"/>
                    <w:right w:val="none" w:sz="6" w:space="0" w:color="auto"/>
                  </w:tcBorders>
                </w:tcPr>
                <w:p w14:paraId="2E842036"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638,100 </w:t>
                  </w:r>
                </w:p>
              </w:tc>
              <w:tc>
                <w:tcPr>
                  <w:tcW w:w="2216" w:type="dxa"/>
                  <w:tcBorders>
                    <w:top w:val="none" w:sz="6" w:space="0" w:color="auto"/>
                    <w:left w:val="none" w:sz="6" w:space="0" w:color="auto"/>
                    <w:bottom w:val="none" w:sz="6" w:space="0" w:color="auto"/>
                  </w:tcBorders>
                </w:tcPr>
                <w:p w14:paraId="1DD47FA0" w14:textId="77777777" w:rsidR="00BD144D" w:rsidRPr="00BD144D" w:rsidRDefault="00BD144D" w:rsidP="00BD144D">
                  <w:pPr>
                    <w:autoSpaceDE w:val="0"/>
                    <w:autoSpaceDN w:val="0"/>
                    <w:adjustRightInd w:val="0"/>
                    <w:spacing w:line="171" w:lineRule="atLeast"/>
                    <w:jc w:val="center"/>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1,472,550 </w:t>
                  </w:r>
                </w:p>
              </w:tc>
            </w:tr>
          </w:tbl>
          <w:p w14:paraId="07B92A91" w14:textId="77777777" w:rsidR="00BD144D" w:rsidRPr="005C740F" w:rsidRDefault="00BD144D" w:rsidP="00236807">
            <w:pPr>
              <w:rPr>
                <w:rFonts w:ascii="Times New Roman" w:hAnsi="Times New Roman"/>
              </w:rPr>
            </w:pPr>
          </w:p>
        </w:tc>
        <w:tc>
          <w:tcPr>
            <w:tcW w:w="3193" w:type="dxa"/>
          </w:tcPr>
          <w:p w14:paraId="62CEDC9F" w14:textId="6A050D3B"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Numbers updated with the following: </w:t>
            </w:r>
          </w:p>
          <w:p w14:paraId="34F2ABBC"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Standard             </w:t>
            </w:r>
          </w:p>
          <w:p w14:paraId="5CB31B52"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$498, 267 </w:t>
            </w:r>
          </w:p>
          <w:p w14:paraId="5E2BF254"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$637, 950</w:t>
            </w:r>
          </w:p>
          <w:p w14:paraId="56FC5CAD"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$771,125</w:t>
            </w:r>
          </w:p>
          <w:p w14:paraId="2A7C42B9"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$958,350</w:t>
            </w:r>
          </w:p>
          <w:p w14:paraId="7C187FEE"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w:t>
            </w:r>
          </w:p>
          <w:p w14:paraId="52F0CDAA"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High Cost Area</w:t>
            </w:r>
            <w:r>
              <w:rPr>
                <w:rFonts w:ascii="Segoe UI" w:hAnsi="Segoe UI" w:cs="Segoe UI"/>
                <w:color w:val="000000"/>
                <w:sz w:val="20"/>
                <w:szCs w:val="20"/>
              </w:rPr>
              <w:tab/>
              <w:t xml:space="preserve">   </w:t>
            </w:r>
          </w:p>
          <w:p w14:paraId="7B0EC480"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lastRenderedPageBreak/>
              <w:t>$1,149,825</w:t>
            </w:r>
          </w:p>
          <w:p w14:paraId="0095693A"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$1,472,250</w:t>
            </w:r>
          </w:p>
          <w:p w14:paraId="7EF279F5"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$1,729,525</w:t>
            </w:r>
          </w:p>
          <w:p w14:paraId="373DAC6F" w14:textId="77777777" w:rsidR="00BD144D" w:rsidRDefault="00BD144D" w:rsidP="00BD144D">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 $2,211,600 </w:t>
            </w:r>
          </w:p>
          <w:p w14:paraId="65A2C282" w14:textId="77777777" w:rsidR="00BD144D" w:rsidRPr="005C740F" w:rsidRDefault="00BD144D" w:rsidP="00236807">
            <w:pPr>
              <w:rPr>
                <w:rFonts w:ascii="Times New Roman" w:hAnsi="Times New Roman"/>
              </w:rPr>
            </w:pPr>
          </w:p>
        </w:tc>
      </w:tr>
      <w:tr w:rsidR="00BD144D" w:rsidRPr="00B261C9" w14:paraId="3A3D745C" w14:textId="77777777" w:rsidTr="00236807">
        <w:trPr>
          <w:trHeight w:val="150"/>
          <w:jc w:val="center"/>
        </w:trPr>
        <w:tc>
          <w:tcPr>
            <w:tcW w:w="3358" w:type="dxa"/>
          </w:tcPr>
          <w:p w14:paraId="42BABBAD" w14:textId="2893EBE9"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lastRenderedPageBreak/>
              <w:t>147</w:t>
            </w:r>
          </w:p>
        </w:tc>
        <w:tc>
          <w:tcPr>
            <w:tcW w:w="3203" w:type="dxa"/>
          </w:tcPr>
          <w:p w14:paraId="735D3575"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77D4C02F" w14:textId="77777777" w:rsidR="00BD144D" w:rsidRDefault="00BD144D" w:rsidP="00BD144D">
            <w:pPr>
              <w:rPr>
                <w:rFonts w:ascii="Goudy Oldstyle Std" w:hAnsi="Goudy Oldstyle Std"/>
                <w:color w:val="211D1E"/>
                <w:sz w:val="23"/>
                <w:szCs w:val="23"/>
              </w:rPr>
            </w:pPr>
            <w:r w:rsidRPr="00BD144D">
              <w:rPr>
                <w:rFonts w:ascii="Goudy Oldstyle Std" w:hAnsi="Goudy Oldstyle Std"/>
                <w:color w:val="211D1E"/>
                <w:sz w:val="23"/>
                <w:szCs w:val="23"/>
              </w:rPr>
              <w:t>In 2020, the VA-guarantee is $127,600, or 25% of the current Freddie Mac loan limit of $510,400.</w:t>
            </w:r>
          </w:p>
          <w:p w14:paraId="517BE3BF" w14:textId="77777777" w:rsidR="00BD144D" w:rsidRDefault="00BD144D" w:rsidP="00BD144D">
            <w:pPr>
              <w:rPr>
                <w:rFonts w:ascii="Goudy Oldstyle Std" w:hAnsi="Goudy Oldstyle Std"/>
                <w:color w:val="211D1E"/>
                <w:sz w:val="23"/>
                <w:szCs w:val="23"/>
              </w:rPr>
            </w:pPr>
          </w:p>
          <w:p w14:paraId="2CA706E6"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10BEB41E" w14:textId="1EC0646C" w:rsidR="00BD144D" w:rsidRPr="005C740F" w:rsidRDefault="00BD144D" w:rsidP="00BD144D">
            <w:pPr>
              <w:rPr>
                <w:rFonts w:ascii="Times New Roman" w:hAnsi="Times New Roman"/>
              </w:rPr>
            </w:pPr>
            <w:r w:rsidRPr="00BD144D">
              <w:rPr>
                <w:rFonts w:ascii="Goudy Oldstyle Std" w:hAnsi="Goudy Oldstyle Std"/>
                <w:color w:val="211D1E"/>
                <w:sz w:val="23"/>
                <w:szCs w:val="23"/>
              </w:rPr>
              <w:t>Because the lender regards this guaranteed amount the same as a 25% down payment, the lender will loan four times the guaranty for a single-family home. Thus, a lender would be willing to loan a qualified veteran borrower up to $417,000, four times the entitlement (up to $625,500 in high cost areas).</w:t>
            </w:r>
          </w:p>
        </w:tc>
        <w:tc>
          <w:tcPr>
            <w:tcW w:w="3193" w:type="dxa"/>
          </w:tcPr>
          <w:p w14:paraId="624860FC"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6C92910F" w14:textId="77777777" w:rsidR="00BD144D" w:rsidRDefault="00BD144D" w:rsidP="00BD144D">
            <w:pPr>
              <w:rPr>
                <w:rFonts w:ascii="Goudy Oldstyle Std" w:hAnsi="Goudy Oldstyle Std"/>
                <w:color w:val="211D1E"/>
                <w:sz w:val="23"/>
                <w:szCs w:val="23"/>
              </w:rPr>
            </w:pPr>
            <w:r w:rsidRPr="00BD144D">
              <w:rPr>
                <w:rFonts w:ascii="Goudy Oldstyle Std" w:hAnsi="Goudy Oldstyle Std"/>
                <w:color w:val="211D1E"/>
                <w:sz w:val="23"/>
                <w:szCs w:val="23"/>
              </w:rPr>
              <w:t>In 202</w:t>
            </w:r>
            <w:r w:rsidRPr="00BD144D">
              <w:rPr>
                <w:rFonts w:ascii="Goudy Oldstyle Std" w:hAnsi="Goudy Oldstyle Std"/>
                <w:color w:val="211D1E"/>
                <w:sz w:val="23"/>
                <w:szCs w:val="23"/>
                <w:highlight w:val="yellow"/>
              </w:rPr>
              <w:t>4</w:t>
            </w:r>
            <w:r w:rsidRPr="00BD144D">
              <w:rPr>
                <w:rFonts w:ascii="Goudy Oldstyle Std" w:hAnsi="Goudy Oldstyle Std"/>
                <w:color w:val="211D1E"/>
                <w:sz w:val="23"/>
                <w:szCs w:val="23"/>
              </w:rPr>
              <w:t>, the VA-guarantee is $127,600, or 25% of the current Freddie Mac loan limit of $510,400.</w:t>
            </w:r>
          </w:p>
          <w:p w14:paraId="52A11D14" w14:textId="77777777" w:rsidR="00BD144D" w:rsidRDefault="00BD144D" w:rsidP="00BD144D">
            <w:pPr>
              <w:rPr>
                <w:rFonts w:ascii="Goudy Oldstyle Std" w:hAnsi="Goudy Oldstyle Std"/>
                <w:color w:val="211D1E"/>
                <w:sz w:val="23"/>
                <w:szCs w:val="23"/>
              </w:rPr>
            </w:pPr>
          </w:p>
          <w:p w14:paraId="5706B2CE"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7F109552" w14:textId="4F4D6C74" w:rsidR="00BD144D" w:rsidRPr="005C740F" w:rsidRDefault="00BD144D" w:rsidP="00BD144D">
            <w:pPr>
              <w:rPr>
                <w:rFonts w:ascii="Times New Roman" w:hAnsi="Times New Roman"/>
              </w:rPr>
            </w:pPr>
            <w:r w:rsidRPr="00BD144D">
              <w:rPr>
                <w:rFonts w:ascii="Goudy Oldstyle Std" w:hAnsi="Goudy Oldstyle Std"/>
                <w:color w:val="211D1E"/>
                <w:sz w:val="23"/>
                <w:szCs w:val="23"/>
              </w:rPr>
              <w:t xml:space="preserve">Because the lender regards this guaranteed amount the same as a 25% down payment, the lender will loan four times the guaranty for a single-family home. </w:t>
            </w:r>
          </w:p>
        </w:tc>
      </w:tr>
      <w:tr w:rsidR="00877CFE" w:rsidRPr="00B261C9" w14:paraId="42856A4E" w14:textId="77777777" w:rsidTr="00236807">
        <w:trPr>
          <w:trHeight w:val="150"/>
          <w:jc w:val="center"/>
        </w:trPr>
        <w:tc>
          <w:tcPr>
            <w:tcW w:w="3358" w:type="dxa"/>
          </w:tcPr>
          <w:p w14:paraId="08A59997" w14:textId="6CC28731" w:rsidR="00877CFE" w:rsidRDefault="00530ADE" w:rsidP="00236807">
            <w:pPr>
              <w:tabs>
                <w:tab w:val="left" w:pos="1800"/>
              </w:tabs>
              <w:autoSpaceDE w:val="0"/>
              <w:autoSpaceDN w:val="0"/>
              <w:adjustRightInd w:val="0"/>
              <w:rPr>
                <w:rFonts w:ascii="Times New Roman" w:hAnsi="Times New Roman"/>
              </w:rPr>
            </w:pPr>
            <w:r>
              <w:rPr>
                <w:rFonts w:ascii="Times New Roman" w:hAnsi="Times New Roman"/>
              </w:rPr>
              <w:t>191, paragraph 3</w:t>
            </w:r>
          </w:p>
        </w:tc>
        <w:tc>
          <w:tcPr>
            <w:tcW w:w="3203" w:type="dxa"/>
          </w:tcPr>
          <w:p w14:paraId="5401F3D2" w14:textId="544783DF" w:rsidR="00877CFE" w:rsidRPr="00BD144D" w:rsidRDefault="00530ADE" w:rsidP="00530ADE">
            <w:pPr>
              <w:autoSpaceDE w:val="0"/>
              <w:autoSpaceDN w:val="0"/>
              <w:adjustRightInd w:val="0"/>
              <w:rPr>
                <w:rFonts w:ascii="Goudy Oldstyle Std" w:hAnsi="Goudy Oldstyle Std" w:cs="Goudy Oldstyle Std"/>
                <w:color w:val="000000"/>
              </w:rPr>
            </w:pPr>
            <w:r w:rsidRPr="00530ADE">
              <w:rPr>
                <w:rFonts w:ascii="Goudy Oldstyle Std" w:hAnsi="Goudy Oldstyle Std"/>
                <w:color w:val="211D1E"/>
                <w:sz w:val="23"/>
                <w:szCs w:val="23"/>
              </w:rPr>
              <w:t>When a problem occurs under the open housing laws,</w:t>
            </w:r>
          </w:p>
        </w:tc>
        <w:tc>
          <w:tcPr>
            <w:tcW w:w="3193" w:type="dxa"/>
          </w:tcPr>
          <w:p w14:paraId="69F3A171" w14:textId="3EDF04B3" w:rsidR="00877CFE" w:rsidRPr="00BD144D" w:rsidRDefault="00530ADE" w:rsidP="00530ADE">
            <w:pPr>
              <w:autoSpaceDE w:val="0"/>
              <w:autoSpaceDN w:val="0"/>
              <w:adjustRightInd w:val="0"/>
              <w:rPr>
                <w:rFonts w:ascii="Goudy Oldstyle Std" w:hAnsi="Goudy Oldstyle Std" w:cs="Goudy Oldstyle Std"/>
                <w:color w:val="000000"/>
              </w:rPr>
            </w:pPr>
            <w:r w:rsidRPr="00530ADE">
              <w:rPr>
                <w:rFonts w:ascii="Goudy Oldstyle Std" w:hAnsi="Goudy Oldstyle Std"/>
                <w:color w:val="211D1E"/>
                <w:sz w:val="23"/>
                <w:szCs w:val="23"/>
              </w:rPr>
              <w:t xml:space="preserve">When a problem occurs under the </w:t>
            </w:r>
            <w:r>
              <w:rPr>
                <w:rFonts w:ascii="Goudy Oldstyle Std" w:hAnsi="Goudy Oldstyle Std"/>
                <w:color w:val="211D1E"/>
                <w:sz w:val="23"/>
                <w:szCs w:val="23"/>
              </w:rPr>
              <w:t>fair</w:t>
            </w:r>
            <w:r w:rsidRPr="00530ADE">
              <w:rPr>
                <w:rFonts w:ascii="Goudy Oldstyle Std" w:hAnsi="Goudy Oldstyle Std"/>
                <w:color w:val="211D1E"/>
                <w:sz w:val="23"/>
                <w:szCs w:val="23"/>
              </w:rPr>
              <w:t xml:space="preserve"> housing laws,</w:t>
            </w:r>
          </w:p>
        </w:tc>
      </w:tr>
      <w:tr w:rsidR="00565E49" w:rsidRPr="00B261C9" w14:paraId="3159462A" w14:textId="77777777" w:rsidTr="00236807">
        <w:trPr>
          <w:trHeight w:val="150"/>
          <w:jc w:val="center"/>
        </w:trPr>
        <w:tc>
          <w:tcPr>
            <w:tcW w:w="3358" w:type="dxa"/>
          </w:tcPr>
          <w:p w14:paraId="4CDC40B8" w14:textId="77777777" w:rsidR="00565E49" w:rsidRDefault="005C740F" w:rsidP="00236807">
            <w:pPr>
              <w:tabs>
                <w:tab w:val="left" w:pos="1800"/>
              </w:tabs>
              <w:autoSpaceDE w:val="0"/>
              <w:autoSpaceDN w:val="0"/>
              <w:adjustRightInd w:val="0"/>
              <w:rPr>
                <w:rFonts w:ascii="Times New Roman" w:hAnsi="Times New Roman"/>
              </w:rPr>
            </w:pPr>
            <w:r>
              <w:rPr>
                <w:rFonts w:ascii="Times New Roman" w:hAnsi="Times New Roman"/>
              </w:rPr>
              <w:t>192, paragraph 5</w:t>
            </w:r>
          </w:p>
        </w:tc>
        <w:tc>
          <w:tcPr>
            <w:tcW w:w="3203" w:type="dxa"/>
          </w:tcPr>
          <w:p w14:paraId="38ABA7F7" w14:textId="77777777" w:rsidR="00565E49" w:rsidRPr="00236807" w:rsidRDefault="005C740F" w:rsidP="00236807">
            <w:pPr>
              <w:rPr>
                <w:rFonts w:ascii="Times New Roman" w:hAnsi="Times New Roman"/>
              </w:rPr>
            </w:pPr>
            <w:r w:rsidRPr="005C740F">
              <w:rPr>
                <w:rFonts w:ascii="Times New Roman" w:hAnsi="Times New Roman"/>
              </w:rPr>
              <w:t xml:space="preserve">... the inducement to panic selling, also known as </w:t>
            </w:r>
            <w:r w:rsidRPr="005C740F">
              <w:rPr>
                <w:rFonts w:ascii="Times New Roman" w:hAnsi="Times New Roman"/>
                <w:i/>
              </w:rPr>
              <w:t>steering</w:t>
            </w:r>
          </w:p>
        </w:tc>
        <w:tc>
          <w:tcPr>
            <w:tcW w:w="3193" w:type="dxa"/>
          </w:tcPr>
          <w:p w14:paraId="2C576F65" w14:textId="77777777" w:rsidR="00565E49" w:rsidRPr="00236807" w:rsidRDefault="005C740F" w:rsidP="00236807">
            <w:pPr>
              <w:rPr>
                <w:rFonts w:ascii="Times New Roman" w:hAnsi="Times New Roman"/>
              </w:rPr>
            </w:pPr>
            <w:r w:rsidRPr="005C740F">
              <w:rPr>
                <w:rFonts w:ascii="Times New Roman" w:hAnsi="Times New Roman"/>
              </w:rPr>
              <w:t xml:space="preserve">... the inducement to panic selling, also known as </w:t>
            </w:r>
            <w:r w:rsidRPr="005C740F">
              <w:rPr>
                <w:rFonts w:ascii="Times New Roman" w:hAnsi="Times New Roman"/>
                <w:i/>
                <w:highlight w:val="yellow"/>
              </w:rPr>
              <w:t>blockbusting</w:t>
            </w:r>
          </w:p>
        </w:tc>
      </w:tr>
      <w:tr w:rsidR="00236807" w:rsidRPr="00B261C9" w14:paraId="11B4CB9C" w14:textId="77777777" w:rsidTr="00236807">
        <w:trPr>
          <w:trHeight w:val="150"/>
          <w:jc w:val="center"/>
        </w:trPr>
        <w:tc>
          <w:tcPr>
            <w:tcW w:w="3358" w:type="dxa"/>
          </w:tcPr>
          <w:p w14:paraId="48E5963E" w14:textId="4D286FF7" w:rsidR="00236807" w:rsidRPr="00AF33C8" w:rsidRDefault="00236807" w:rsidP="00236807">
            <w:pPr>
              <w:tabs>
                <w:tab w:val="left" w:pos="1800"/>
              </w:tabs>
              <w:autoSpaceDE w:val="0"/>
              <w:autoSpaceDN w:val="0"/>
              <w:adjustRightInd w:val="0"/>
              <w:rPr>
                <w:rFonts w:ascii="Times New Roman" w:hAnsi="Times New Roman"/>
              </w:rPr>
            </w:pPr>
            <w:r>
              <w:rPr>
                <w:rFonts w:ascii="Times New Roman" w:hAnsi="Times New Roman"/>
              </w:rPr>
              <w:t>22</w:t>
            </w:r>
            <w:r w:rsidR="00267DBC">
              <w:rPr>
                <w:rFonts w:ascii="Times New Roman" w:hAnsi="Times New Roman"/>
              </w:rPr>
              <w:t>5</w:t>
            </w:r>
            <w:r>
              <w:rPr>
                <w:rFonts w:ascii="Times New Roman" w:hAnsi="Times New Roman"/>
              </w:rPr>
              <w:t xml:space="preserve">, </w:t>
            </w:r>
            <w:r w:rsidRPr="00236807">
              <w:rPr>
                <w:rFonts w:ascii="Times New Roman" w:hAnsi="Times New Roman"/>
              </w:rPr>
              <w:t>Secured Overnight Financing Rate (SOFR)</w:t>
            </w:r>
          </w:p>
        </w:tc>
        <w:tc>
          <w:tcPr>
            <w:tcW w:w="3203" w:type="dxa"/>
          </w:tcPr>
          <w:p w14:paraId="2AC1B253" w14:textId="77777777" w:rsidR="00236807" w:rsidRPr="00AF33C8" w:rsidRDefault="00236807" w:rsidP="00236807">
            <w:pPr>
              <w:rPr>
                <w:rFonts w:ascii="Times New Roman" w:hAnsi="Times New Roman"/>
              </w:rPr>
            </w:pPr>
            <w:r w:rsidRPr="00236807">
              <w:rPr>
                <w:rFonts w:ascii="Times New Roman" w:hAnsi="Times New Roman"/>
              </w:rPr>
              <w:t>It appears</w:t>
            </w:r>
            <w:r>
              <w:rPr>
                <w:rFonts w:ascii="Times New Roman" w:hAnsi="Times New Roman"/>
              </w:rPr>
              <w:t xml:space="preserve"> </w:t>
            </w:r>
            <w:r w:rsidRPr="00236807">
              <w:rPr>
                <w:rFonts w:ascii="Times New Roman" w:hAnsi="Times New Roman"/>
              </w:rPr>
              <w:t xml:space="preserve">that the </w:t>
            </w:r>
            <w:proofErr w:type="spellStart"/>
            <w:r w:rsidRPr="00236807">
              <w:rPr>
                <w:rFonts w:ascii="Times New Roman" w:hAnsi="Times New Roman"/>
              </w:rPr>
              <w:t>Liboras</w:t>
            </w:r>
            <w:proofErr w:type="spellEnd"/>
            <w:r w:rsidRPr="00236807">
              <w:rPr>
                <w:rFonts w:ascii="Times New Roman" w:hAnsi="Times New Roman"/>
              </w:rPr>
              <w:t xml:space="preserve"> index may be phased out and the newer index of SOFR</w:t>
            </w:r>
            <w:r>
              <w:rPr>
                <w:rFonts w:ascii="Times New Roman" w:hAnsi="Times New Roman"/>
              </w:rPr>
              <w:t xml:space="preserve"> </w:t>
            </w:r>
            <w:r w:rsidRPr="00236807">
              <w:rPr>
                <w:rFonts w:ascii="Times New Roman" w:hAnsi="Times New Roman"/>
              </w:rPr>
              <w:t>may become the index of choice over time.</w:t>
            </w:r>
          </w:p>
        </w:tc>
        <w:tc>
          <w:tcPr>
            <w:tcW w:w="3193" w:type="dxa"/>
          </w:tcPr>
          <w:p w14:paraId="63E2DFE9" w14:textId="77777777" w:rsidR="00236807" w:rsidRPr="00AF33C8" w:rsidRDefault="00236807" w:rsidP="00236807">
            <w:pPr>
              <w:rPr>
                <w:rFonts w:ascii="Times New Roman" w:hAnsi="Times New Roman"/>
              </w:rPr>
            </w:pPr>
            <w:r w:rsidRPr="00236807">
              <w:rPr>
                <w:rFonts w:ascii="Times New Roman" w:hAnsi="Times New Roman"/>
              </w:rPr>
              <w:t>It appears</w:t>
            </w:r>
            <w:r>
              <w:rPr>
                <w:rFonts w:ascii="Times New Roman" w:hAnsi="Times New Roman"/>
              </w:rPr>
              <w:t xml:space="preserve"> </w:t>
            </w:r>
            <w:r w:rsidRPr="00236807">
              <w:rPr>
                <w:rFonts w:ascii="Times New Roman" w:hAnsi="Times New Roman"/>
              </w:rPr>
              <w:t xml:space="preserve">that the </w:t>
            </w:r>
            <w:r w:rsidRPr="00236807">
              <w:rPr>
                <w:rFonts w:ascii="Times New Roman" w:hAnsi="Times New Roman"/>
                <w:highlight w:val="yellow"/>
              </w:rPr>
              <w:t>Libor as</w:t>
            </w:r>
            <w:r w:rsidRPr="00236807">
              <w:rPr>
                <w:rFonts w:ascii="Times New Roman" w:hAnsi="Times New Roman"/>
              </w:rPr>
              <w:t xml:space="preserve"> index may be phased out and the newer index of SOFR</w:t>
            </w:r>
            <w:r>
              <w:rPr>
                <w:rFonts w:ascii="Times New Roman" w:hAnsi="Times New Roman"/>
              </w:rPr>
              <w:t xml:space="preserve"> </w:t>
            </w:r>
            <w:r w:rsidRPr="00236807">
              <w:rPr>
                <w:rFonts w:ascii="Times New Roman" w:hAnsi="Times New Roman"/>
              </w:rPr>
              <w:t>may become the index of choice over time.</w:t>
            </w:r>
          </w:p>
        </w:tc>
      </w:tr>
      <w:tr w:rsidR="00BD144D" w:rsidRPr="00B261C9" w14:paraId="0C22EF48" w14:textId="77777777" w:rsidTr="00236807">
        <w:trPr>
          <w:trHeight w:val="150"/>
          <w:jc w:val="center"/>
        </w:trPr>
        <w:tc>
          <w:tcPr>
            <w:tcW w:w="3358" w:type="dxa"/>
          </w:tcPr>
          <w:p w14:paraId="30F8D5AE" w14:textId="51276F0B"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287</w:t>
            </w:r>
          </w:p>
        </w:tc>
        <w:tc>
          <w:tcPr>
            <w:tcW w:w="3203" w:type="dxa"/>
          </w:tcPr>
          <w:p w14:paraId="2A950CC7"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552A43A2" w14:textId="331802D0" w:rsidR="00BD144D" w:rsidRPr="00587BE3" w:rsidRDefault="00BD144D" w:rsidP="00BD144D">
            <w:pPr>
              <w:rPr>
                <w:rFonts w:ascii="Times New Roman" w:hAnsi="Times New Roman"/>
              </w:rPr>
            </w:pPr>
            <w:r w:rsidRPr="00BD144D">
              <w:rPr>
                <w:rFonts w:ascii="Goudy Oldstyle Std" w:hAnsi="Goudy Oldstyle Std"/>
                <w:color w:val="211D1E"/>
                <w:sz w:val="23"/>
                <w:szCs w:val="23"/>
              </w:rPr>
              <w:t xml:space="preserve">Many financing arrangements include a </w:t>
            </w:r>
            <w:r w:rsidRPr="00BD144D">
              <w:rPr>
                <w:rFonts w:ascii="Goudy Oldstyle Std" w:hAnsi="Goudy Oldstyle Std" w:cs="Goudy Oldstyle Std"/>
                <w:b/>
                <w:bCs/>
                <w:color w:val="211D1E"/>
                <w:sz w:val="23"/>
                <w:szCs w:val="23"/>
              </w:rPr>
              <w:t>due-on-sale clause</w:t>
            </w:r>
            <w:r w:rsidRPr="00BD144D">
              <w:rPr>
                <w:rFonts w:ascii="Goudy Oldstyle Std" w:hAnsi="Goudy Oldstyle Std" w:cs="Goudy Oldstyle Std"/>
                <w:color w:val="211D1E"/>
                <w:sz w:val="23"/>
                <w:szCs w:val="23"/>
              </w:rPr>
              <w:t xml:space="preserve">, also known as a </w:t>
            </w:r>
            <w:r w:rsidRPr="00BD144D">
              <w:rPr>
                <w:rFonts w:ascii="Goudy Oldstyle Std" w:hAnsi="Goudy Oldstyle Std" w:cs="Goudy Oldstyle Std"/>
                <w:i/>
                <w:iCs/>
                <w:color w:val="211D1E"/>
                <w:sz w:val="23"/>
                <w:szCs w:val="23"/>
              </w:rPr>
              <w:t>call clause</w:t>
            </w:r>
            <w:r w:rsidRPr="00BD144D">
              <w:rPr>
                <w:rFonts w:ascii="Goudy Oldstyle Std" w:hAnsi="Goudy Oldstyle Std" w:cs="Goudy Oldstyle Std"/>
                <w:color w:val="211D1E"/>
                <w:sz w:val="23"/>
                <w:szCs w:val="23"/>
              </w:rPr>
              <w:t xml:space="preserve">, </w:t>
            </w:r>
            <w:r w:rsidRPr="00BD144D">
              <w:rPr>
                <w:rFonts w:ascii="Goudy Oldstyle Std" w:hAnsi="Goudy Oldstyle Std" w:cs="Goudy Oldstyle Std"/>
                <w:i/>
                <w:iCs/>
                <w:color w:val="211D1E"/>
                <w:sz w:val="23"/>
                <w:szCs w:val="23"/>
              </w:rPr>
              <w:t>right-to-sell clause</w:t>
            </w:r>
            <w:r w:rsidRPr="00BD144D">
              <w:rPr>
                <w:rFonts w:ascii="Goudy Oldstyle Std" w:hAnsi="Goudy Oldstyle Std" w:cs="Goudy Oldstyle Std"/>
                <w:color w:val="211D1E"/>
                <w:sz w:val="23"/>
                <w:szCs w:val="23"/>
              </w:rPr>
              <w:t xml:space="preserve">, </w:t>
            </w:r>
            <w:r w:rsidRPr="00BD144D">
              <w:rPr>
                <w:rFonts w:ascii="Goudy Oldstyle Std" w:hAnsi="Goudy Oldstyle Std" w:cs="Goudy Oldstyle Std"/>
                <w:i/>
                <w:iCs/>
                <w:color w:val="211D1E"/>
                <w:sz w:val="23"/>
                <w:szCs w:val="23"/>
              </w:rPr>
              <w:t>acceleration clause</w:t>
            </w:r>
            <w:r w:rsidRPr="00BD144D">
              <w:rPr>
                <w:rFonts w:ascii="Goudy Oldstyle Std" w:hAnsi="Goudy Oldstyle Std" w:cs="Goudy Oldstyle Std"/>
                <w:color w:val="211D1E"/>
                <w:sz w:val="23"/>
                <w:szCs w:val="23"/>
              </w:rPr>
              <w:t xml:space="preserve">, or an </w:t>
            </w:r>
            <w:r w:rsidRPr="00BD144D">
              <w:rPr>
                <w:rFonts w:ascii="Goudy Oldstyle Std" w:hAnsi="Goudy Oldstyle Std" w:cs="Goudy Oldstyle Std"/>
                <w:i/>
                <w:iCs/>
                <w:color w:val="211D1E"/>
                <w:sz w:val="23"/>
                <w:szCs w:val="23"/>
              </w:rPr>
              <w:t>alienation clause</w:t>
            </w:r>
            <w:r w:rsidRPr="00BD144D">
              <w:rPr>
                <w:rFonts w:ascii="Goudy Oldstyle Std" w:hAnsi="Goudy Oldstyle Std" w:cs="Goudy Oldstyle Std"/>
                <w:color w:val="211D1E"/>
                <w:sz w:val="23"/>
                <w:szCs w:val="23"/>
              </w:rPr>
              <w:t xml:space="preserve">. This condition stipulates that a borrower “shall not sell, transfer, encumber, assign, convey, or in any other manner dispose of the collateral property or any part </w:t>
            </w:r>
            <w:r w:rsidRPr="00BD144D">
              <w:rPr>
                <w:rFonts w:ascii="Goudy Oldstyle Std" w:hAnsi="Goudy Oldstyle Std" w:cs="Goudy Oldstyle Std"/>
                <w:color w:val="211D1E"/>
                <w:sz w:val="23"/>
                <w:szCs w:val="23"/>
              </w:rPr>
              <w:lastRenderedPageBreak/>
              <w:t>thereof, or turn over the management or operation of any business on the collateral property to any other person, firm, or corporation without the express prior written consent of the lender.”</w:t>
            </w:r>
          </w:p>
        </w:tc>
        <w:tc>
          <w:tcPr>
            <w:tcW w:w="3193" w:type="dxa"/>
          </w:tcPr>
          <w:p w14:paraId="137E9938"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51718C5F" w14:textId="1723B224" w:rsidR="00BD144D" w:rsidRPr="00587BE3" w:rsidRDefault="00BD144D" w:rsidP="00BD144D">
            <w:pPr>
              <w:rPr>
                <w:rFonts w:ascii="Times New Roman" w:hAnsi="Times New Roman"/>
              </w:rPr>
            </w:pPr>
            <w:r w:rsidRPr="00BD144D">
              <w:rPr>
                <w:rFonts w:ascii="Goudy Oldstyle Std" w:hAnsi="Goudy Oldstyle Std"/>
                <w:color w:val="211D1E"/>
                <w:sz w:val="23"/>
                <w:szCs w:val="23"/>
              </w:rPr>
              <w:t xml:space="preserve">Many financing arrangements include a </w:t>
            </w:r>
            <w:r w:rsidRPr="00BD144D">
              <w:rPr>
                <w:rFonts w:ascii="Goudy Oldstyle Std" w:hAnsi="Goudy Oldstyle Std" w:cs="Goudy Oldstyle Std"/>
                <w:b/>
                <w:bCs/>
                <w:color w:val="211D1E"/>
                <w:sz w:val="23"/>
                <w:szCs w:val="23"/>
              </w:rPr>
              <w:t>due-on-sale clause</w:t>
            </w:r>
            <w:r w:rsidRPr="00BD144D">
              <w:rPr>
                <w:rFonts w:ascii="Goudy Oldstyle Std" w:hAnsi="Goudy Oldstyle Std" w:cs="Goudy Oldstyle Std"/>
                <w:color w:val="211D1E"/>
                <w:sz w:val="23"/>
                <w:szCs w:val="23"/>
              </w:rPr>
              <w:t xml:space="preserve">. This condition stipulates that a borrower “shall not sell, transfer, encumber, assign, convey, or in any other manner dispose of the collateral property or any part thereof, or turn over the management or operation of any business on the collateral property to any other person, </w:t>
            </w:r>
            <w:r w:rsidRPr="00BD144D">
              <w:rPr>
                <w:rFonts w:ascii="Goudy Oldstyle Std" w:hAnsi="Goudy Oldstyle Std" w:cs="Goudy Oldstyle Std"/>
                <w:color w:val="211D1E"/>
                <w:sz w:val="23"/>
                <w:szCs w:val="23"/>
              </w:rPr>
              <w:lastRenderedPageBreak/>
              <w:t>firm, or corporation without the express prior written consent of the lender.”</w:t>
            </w:r>
          </w:p>
        </w:tc>
      </w:tr>
      <w:tr w:rsidR="00587BE3" w:rsidRPr="00B261C9" w14:paraId="0B3C543B" w14:textId="77777777" w:rsidTr="00236807">
        <w:trPr>
          <w:trHeight w:val="150"/>
          <w:jc w:val="center"/>
        </w:trPr>
        <w:tc>
          <w:tcPr>
            <w:tcW w:w="3358" w:type="dxa"/>
          </w:tcPr>
          <w:p w14:paraId="5FF3CA9B" w14:textId="77777777" w:rsidR="00587BE3" w:rsidRDefault="00587BE3" w:rsidP="00236807">
            <w:pPr>
              <w:tabs>
                <w:tab w:val="left" w:pos="1800"/>
              </w:tabs>
              <w:autoSpaceDE w:val="0"/>
              <w:autoSpaceDN w:val="0"/>
              <w:adjustRightInd w:val="0"/>
              <w:rPr>
                <w:rFonts w:ascii="Times New Roman" w:hAnsi="Times New Roman"/>
              </w:rPr>
            </w:pPr>
            <w:r>
              <w:rPr>
                <w:rFonts w:ascii="Times New Roman" w:hAnsi="Times New Roman"/>
              </w:rPr>
              <w:lastRenderedPageBreak/>
              <w:t>289, paragraph 4</w:t>
            </w:r>
          </w:p>
        </w:tc>
        <w:tc>
          <w:tcPr>
            <w:tcW w:w="3203" w:type="dxa"/>
          </w:tcPr>
          <w:p w14:paraId="26B07939" w14:textId="77777777" w:rsidR="00587BE3" w:rsidRPr="00236807" w:rsidRDefault="00587BE3" w:rsidP="00236807">
            <w:pPr>
              <w:rPr>
                <w:rFonts w:ascii="Times New Roman" w:hAnsi="Times New Roman"/>
              </w:rPr>
            </w:pPr>
            <w:r w:rsidRPr="00587BE3">
              <w:rPr>
                <w:rFonts w:ascii="Times New Roman" w:hAnsi="Times New Roman"/>
              </w:rPr>
              <w:t>Many financing arrangements include a due-on-sale clause, also known as a call clause, right-to-sell clause, acceleration clause, or an alienation clause.</w:t>
            </w:r>
          </w:p>
        </w:tc>
        <w:tc>
          <w:tcPr>
            <w:tcW w:w="3193" w:type="dxa"/>
          </w:tcPr>
          <w:p w14:paraId="5B273C2C" w14:textId="77777777" w:rsidR="00587BE3" w:rsidRPr="00236807" w:rsidRDefault="00587BE3" w:rsidP="00236807">
            <w:pPr>
              <w:rPr>
                <w:rFonts w:ascii="Times New Roman" w:hAnsi="Times New Roman"/>
              </w:rPr>
            </w:pPr>
            <w:r w:rsidRPr="00587BE3">
              <w:rPr>
                <w:rFonts w:ascii="Times New Roman" w:hAnsi="Times New Roman"/>
              </w:rPr>
              <w:t>Many financing arrangements include a due-on-sale clause.</w:t>
            </w:r>
          </w:p>
        </w:tc>
      </w:tr>
      <w:tr w:rsidR="00BD144D" w:rsidRPr="00B261C9" w14:paraId="2DBCDB5B" w14:textId="77777777" w:rsidTr="00236807">
        <w:trPr>
          <w:trHeight w:val="150"/>
          <w:jc w:val="center"/>
        </w:trPr>
        <w:tc>
          <w:tcPr>
            <w:tcW w:w="3358" w:type="dxa"/>
          </w:tcPr>
          <w:p w14:paraId="2ACEE379" w14:textId="61E52EF9"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360</w:t>
            </w:r>
          </w:p>
        </w:tc>
        <w:tc>
          <w:tcPr>
            <w:tcW w:w="3203" w:type="dxa"/>
          </w:tcPr>
          <w:p w14:paraId="621FDE16"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5DF96D1A" w14:textId="7B97CE27"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For example, the 2016 loan limits are as follows:</w:t>
            </w:r>
          </w:p>
        </w:tc>
        <w:tc>
          <w:tcPr>
            <w:tcW w:w="3193" w:type="dxa"/>
          </w:tcPr>
          <w:p w14:paraId="09F6A016"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44DB579C" w14:textId="7BE6E1E7"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 xml:space="preserve">For example, the 2016 loan limits </w:t>
            </w:r>
            <w:r w:rsidRPr="00BD144D">
              <w:rPr>
                <w:rFonts w:ascii="Goudy Oldstyle Std" w:hAnsi="Goudy Oldstyle Std"/>
                <w:color w:val="211D1E"/>
                <w:sz w:val="23"/>
                <w:szCs w:val="23"/>
                <w:highlight w:val="yellow"/>
              </w:rPr>
              <w:t>were</w:t>
            </w:r>
            <w:r w:rsidRPr="00BD144D">
              <w:rPr>
                <w:rFonts w:ascii="Goudy Oldstyle Std" w:hAnsi="Goudy Oldstyle Std"/>
                <w:color w:val="211D1E"/>
                <w:sz w:val="23"/>
                <w:szCs w:val="23"/>
              </w:rPr>
              <w:t xml:space="preserve"> as follows:</w:t>
            </w:r>
          </w:p>
        </w:tc>
      </w:tr>
      <w:tr w:rsidR="00236807" w:rsidRPr="00B261C9" w14:paraId="331E384A" w14:textId="77777777" w:rsidTr="00236807">
        <w:trPr>
          <w:trHeight w:val="150"/>
          <w:jc w:val="center"/>
        </w:trPr>
        <w:tc>
          <w:tcPr>
            <w:tcW w:w="3358" w:type="dxa"/>
          </w:tcPr>
          <w:p w14:paraId="247812A8" w14:textId="77777777" w:rsidR="00236807" w:rsidRPr="00B20D6C" w:rsidRDefault="00236807" w:rsidP="00236807">
            <w:pPr>
              <w:tabs>
                <w:tab w:val="left" w:pos="1800"/>
              </w:tabs>
              <w:autoSpaceDE w:val="0"/>
              <w:autoSpaceDN w:val="0"/>
              <w:adjustRightInd w:val="0"/>
              <w:rPr>
                <w:rFonts w:ascii="Times New Roman" w:hAnsi="Times New Roman"/>
              </w:rPr>
            </w:pPr>
            <w:r>
              <w:rPr>
                <w:rFonts w:ascii="Times New Roman" w:hAnsi="Times New Roman"/>
              </w:rPr>
              <w:t>398, Trading on Seller's Equity</w:t>
            </w:r>
          </w:p>
        </w:tc>
        <w:tc>
          <w:tcPr>
            <w:tcW w:w="3203" w:type="dxa"/>
          </w:tcPr>
          <w:p w14:paraId="2D708BDA" w14:textId="77777777" w:rsidR="00236807" w:rsidRPr="00B20D6C" w:rsidRDefault="00236807" w:rsidP="00236807">
            <w:pPr>
              <w:tabs>
                <w:tab w:val="left" w:pos="1800"/>
              </w:tabs>
              <w:autoSpaceDE w:val="0"/>
              <w:autoSpaceDN w:val="0"/>
              <w:adjustRightInd w:val="0"/>
              <w:rPr>
                <w:rFonts w:ascii="Times New Roman" w:hAnsi="Times New Roman"/>
              </w:rPr>
            </w:pPr>
            <w:r w:rsidRPr="00236807">
              <w:rPr>
                <w:rFonts w:ascii="Times New Roman" w:hAnsi="Times New Roman"/>
              </w:rPr>
              <w:t>In effect, the seller would be securing</w:t>
            </w:r>
            <w:r>
              <w:rPr>
                <w:rFonts w:ascii="Times New Roman" w:hAnsi="Times New Roman"/>
              </w:rPr>
              <w:t xml:space="preserve"> </w:t>
            </w:r>
            <w:r w:rsidRPr="00236807">
              <w:rPr>
                <w:rFonts w:ascii="Times New Roman" w:hAnsi="Times New Roman"/>
              </w:rPr>
              <w:t>the $35,000 cash plus the junior loan for $20,000 as agreed</w:t>
            </w:r>
            <w:r>
              <w:rPr>
                <w:rFonts w:ascii="Times New Roman" w:hAnsi="Times New Roman"/>
              </w:rPr>
              <w:t>…</w:t>
            </w:r>
          </w:p>
        </w:tc>
        <w:tc>
          <w:tcPr>
            <w:tcW w:w="3193" w:type="dxa"/>
          </w:tcPr>
          <w:p w14:paraId="51B1F559" w14:textId="77777777" w:rsidR="00236807" w:rsidRPr="00B20D6C" w:rsidRDefault="00236807" w:rsidP="00236807">
            <w:pPr>
              <w:tabs>
                <w:tab w:val="left" w:pos="1800"/>
              </w:tabs>
              <w:autoSpaceDE w:val="0"/>
              <w:autoSpaceDN w:val="0"/>
              <w:adjustRightInd w:val="0"/>
              <w:rPr>
                <w:rFonts w:ascii="Times New Roman" w:hAnsi="Times New Roman"/>
              </w:rPr>
            </w:pPr>
            <w:r w:rsidRPr="00236807">
              <w:rPr>
                <w:rFonts w:ascii="Times New Roman" w:hAnsi="Times New Roman"/>
              </w:rPr>
              <w:t>In effect, the seller would be securing</w:t>
            </w:r>
            <w:r>
              <w:rPr>
                <w:rFonts w:ascii="Times New Roman" w:hAnsi="Times New Roman"/>
              </w:rPr>
              <w:t xml:space="preserve"> </w:t>
            </w:r>
            <w:r w:rsidRPr="00236807">
              <w:rPr>
                <w:rFonts w:ascii="Times New Roman" w:hAnsi="Times New Roman"/>
              </w:rPr>
              <w:t xml:space="preserve">the $35,000 cash plus the junior loan for </w:t>
            </w:r>
            <w:r w:rsidRPr="00236807">
              <w:rPr>
                <w:rFonts w:ascii="Times New Roman" w:hAnsi="Times New Roman"/>
                <w:highlight w:val="yellow"/>
              </w:rPr>
              <w:t>$40,000</w:t>
            </w:r>
            <w:r w:rsidRPr="00236807">
              <w:rPr>
                <w:rFonts w:ascii="Times New Roman" w:hAnsi="Times New Roman"/>
              </w:rPr>
              <w:t xml:space="preserve"> as agreed</w:t>
            </w:r>
            <w:r>
              <w:rPr>
                <w:rFonts w:ascii="Times New Roman" w:hAnsi="Times New Roman"/>
              </w:rPr>
              <w:t>…</w:t>
            </w:r>
          </w:p>
        </w:tc>
      </w:tr>
      <w:tr w:rsidR="00BD144D" w:rsidRPr="00B261C9" w14:paraId="69026319" w14:textId="77777777" w:rsidTr="00236807">
        <w:trPr>
          <w:trHeight w:val="150"/>
          <w:jc w:val="center"/>
        </w:trPr>
        <w:tc>
          <w:tcPr>
            <w:tcW w:w="3358" w:type="dxa"/>
          </w:tcPr>
          <w:p w14:paraId="46272509" w14:textId="0E8E606D"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403</w:t>
            </w:r>
          </w:p>
        </w:tc>
        <w:tc>
          <w:tcPr>
            <w:tcW w:w="3203" w:type="dxa"/>
          </w:tcPr>
          <w:p w14:paraId="04BAA8C3"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66C4B304" w14:textId="07E8F06C"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 xml:space="preserve">The 2020 exemption from federal </w:t>
            </w:r>
            <w:r w:rsidRPr="00BD144D">
              <w:rPr>
                <w:rFonts w:ascii="Goudy Oldstyle Std" w:hAnsi="Goudy Oldstyle Std" w:cs="Goudy Oldstyle Std"/>
                <w:b/>
                <w:bCs/>
                <w:color w:val="211D1E"/>
                <w:sz w:val="23"/>
                <w:szCs w:val="23"/>
              </w:rPr>
              <w:t xml:space="preserve">estate taxes </w:t>
            </w:r>
            <w:r w:rsidRPr="00BD144D">
              <w:rPr>
                <w:rFonts w:ascii="Goudy Oldstyle Std" w:hAnsi="Goudy Oldstyle Std" w:cs="Goudy Oldstyle Std"/>
                <w:color w:val="211D1E"/>
                <w:sz w:val="23"/>
                <w:szCs w:val="23"/>
              </w:rPr>
              <w:t>is $11,580,000 per person. To pay estate taxes, then, a deceased’s estate would have to be evaluated at more than $23,160,000 net if owned as community property or jointly with a spouse. In other words, the gross value of the entire estate is estimated, debts against the estate, as well as all probate costs deducted, and the balance (or one-half if owned jointly or as commu</w:t>
            </w:r>
            <w:r w:rsidRPr="00BD144D">
              <w:rPr>
                <w:rFonts w:ascii="Goudy Oldstyle Std" w:hAnsi="Goudy Oldstyle Std" w:cs="Goudy Oldstyle Std"/>
                <w:color w:val="211D1E"/>
                <w:sz w:val="23"/>
                <w:szCs w:val="23"/>
              </w:rPr>
              <w:softHyphen/>
              <w:t>nity property) must exceed $11,580,000 before it is subject to federal estate taxes. It is possible that Congress will adopt law changes to Federal Estate Taxes. Consult with your tax professional.</w:t>
            </w:r>
          </w:p>
        </w:tc>
        <w:tc>
          <w:tcPr>
            <w:tcW w:w="3193" w:type="dxa"/>
          </w:tcPr>
          <w:p w14:paraId="3135636C"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23149E1C" w14:textId="7AB3001B" w:rsidR="00BD144D" w:rsidRPr="00236807" w:rsidRDefault="00BD144D" w:rsidP="00BD144D">
            <w:pPr>
              <w:tabs>
                <w:tab w:val="left" w:pos="1800"/>
              </w:tabs>
              <w:autoSpaceDE w:val="0"/>
              <w:autoSpaceDN w:val="0"/>
              <w:adjustRightInd w:val="0"/>
              <w:rPr>
                <w:rFonts w:ascii="Times New Roman" w:hAnsi="Times New Roman"/>
              </w:rPr>
            </w:pPr>
            <w:r w:rsidRPr="00BD144D">
              <w:rPr>
                <w:rFonts w:ascii="Goudy Oldstyle Std" w:hAnsi="Goudy Oldstyle Std"/>
                <w:color w:val="211D1E"/>
                <w:sz w:val="23"/>
                <w:szCs w:val="23"/>
              </w:rPr>
              <w:t>The 20</w:t>
            </w:r>
            <w:r w:rsidRPr="00BD144D">
              <w:rPr>
                <w:rFonts w:ascii="Goudy Oldstyle Std" w:hAnsi="Goudy Oldstyle Std"/>
                <w:color w:val="211D1E"/>
                <w:sz w:val="23"/>
                <w:szCs w:val="23"/>
                <w:highlight w:val="yellow"/>
              </w:rPr>
              <w:t>24</w:t>
            </w:r>
            <w:r w:rsidRPr="00BD144D">
              <w:rPr>
                <w:rFonts w:ascii="Goudy Oldstyle Std" w:hAnsi="Goudy Oldstyle Std"/>
                <w:color w:val="211D1E"/>
                <w:sz w:val="23"/>
                <w:szCs w:val="23"/>
              </w:rPr>
              <w:t xml:space="preserve"> exemption from federal </w:t>
            </w:r>
            <w:r w:rsidRPr="00BD144D">
              <w:rPr>
                <w:rFonts w:ascii="Goudy Oldstyle Std" w:hAnsi="Goudy Oldstyle Std" w:cs="Goudy Oldstyle Std"/>
                <w:b/>
                <w:bCs/>
                <w:color w:val="211D1E"/>
                <w:sz w:val="23"/>
                <w:szCs w:val="23"/>
              </w:rPr>
              <w:t xml:space="preserve">estate taxes </w:t>
            </w:r>
            <w:r w:rsidRPr="00BD144D">
              <w:rPr>
                <w:rFonts w:ascii="Goudy Oldstyle Std" w:hAnsi="Goudy Oldstyle Std" w:cs="Goudy Oldstyle Std"/>
                <w:color w:val="211D1E"/>
                <w:sz w:val="23"/>
                <w:szCs w:val="23"/>
              </w:rPr>
              <w:t xml:space="preserve">is </w:t>
            </w:r>
            <w:r w:rsidRPr="00BD144D">
              <w:rPr>
                <w:rFonts w:ascii="Segoe UI" w:hAnsi="Segoe UI" w:cs="Segoe UI"/>
                <w:color w:val="000000"/>
                <w:sz w:val="20"/>
                <w:szCs w:val="20"/>
                <w:highlight w:val="yellow"/>
              </w:rPr>
              <w:t>$13,610,000</w:t>
            </w:r>
            <w:r>
              <w:rPr>
                <w:rFonts w:ascii="Segoe UI" w:hAnsi="Segoe UI" w:cs="Segoe UI"/>
                <w:color w:val="000000"/>
                <w:sz w:val="20"/>
                <w:szCs w:val="20"/>
              </w:rPr>
              <w:t xml:space="preserve"> </w:t>
            </w:r>
            <w:r w:rsidRPr="00BD144D">
              <w:rPr>
                <w:rFonts w:ascii="Goudy Oldstyle Std" w:hAnsi="Goudy Oldstyle Std" w:cs="Goudy Oldstyle Std"/>
                <w:color w:val="211D1E"/>
                <w:sz w:val="23"/>
                <w:szCs w:val="23"/>
              </w:rPr>
              <w:t>per person. To pay estate taxes, then, a deceased’s estate would have to be evaluated at more than $</w:t>
            </w:r>
            <w:r w:rsidRPr="00BD144D">
              <w:rPr>
                <w:rFonts w:ascii="Segoe UI" w:hAnsi="Segoe UI" w:cs="Segoe UI"/>
                <w:color w:val="000000"/>
                <w:sz w:val="20"/>
                <w:szCs w:val="20"/>
                <w:highlight w:val="yellow"/>
              </w:rPr>
              <w:t>27,220,000</w:t>
            </w:r>
            <w:r>
              <w:rPr>
                <w:rFonts w:ascii="Segoe UI" w:hAnsi="Segoe UI" w:cs="Segoe UI"/>
                <w:color w:val="000000"/>
                <w:sz w:val="20"/>
                <w:szCs w:val="20"/>
              </w:rPr>
              <w:t xml:space="preserve"> </w:t>
            </w:r>
            <w:r w:rsidRPr="00BD144D">
              <w:rPr>
                <w:rFonts w:ascii="Goudy Oldstyle Std" w:hAnsi="Goudy Oldstyle Std" w:cs="Goudy Oldstyle Std"/>
                <w:color w:val="211D1E"/>
                <w:sz w:val="23"/>
                <w:szCs w:val="23"/>
              </w:rPr>
              <w:t>net if owned as community property or jointly with a spouse. In other words, the gross value of the entire estate is estimated, debts against the estate, as well as all probate costs deducted, and the balance (or one-half if owned jointly or as commu</w:t>
            </w:r>
            <w:r w:rsidRPr="00BD144D">
              <w:rPr>
                <w:rFonts w:ascii="Goudy Oldstyle Std" w:hAnsi="Goudy Oldstyle Std" w:cs="Goudy Oldstyle Std"/>
                <w:color w:val="211D1E"/>
                <w:sz w:val="23"/>
                <w:szCs w:val="23"/>
              </w:rPr>
              <w:softHyphen/>
              <w:t>nity property) must exceed $</w:t>
            </w:r>
            <w:r w:rsidRPr="00BD144D">
              <w:rPr>
                <w:rFonts w:ascii="Segoe UI" w:hAnsi="Segoe UI" w:cs="Segoe UI"/>
                <w:color w:val="000000"/>
                <w:sz w:val="20"/>
                <w:szCs w:val="20"/>
                <w:highlight w:val="yellow"/>
              </w:rPr>
              <w:t>13,610,000</w:t>
            </w:r>
            <w:r>
              <w:rPr>
                <w:rFonts w:ascii="Segoe UI" w:hAnsi="Segoe UI" w:cs="Segoe UI"/>
                <w:color w:val="000000"/>
                <w:sz w:val="20"/>
                <w:szCs w:val="20"/>
              </w:rPr>
              <w:t xml:space="preserve"> </w:t>
            </w:r>
            <w:r w:rsidRPr="00BD144D">
              <w:rPr>
                <w:rFonts w:ascii="Goudy Oldstyle Std" w:hAnsi="Goudy Oldstyle Std" w:cs="Goudy Oldstyle Std"/>
                <w:color w:val="211D1E"/>
                <w:sz w:val="23"/>
                <w:szCs w:val="23"/>
              </w:rPr>
              <w:t>before it is subject to federal estate taxes. It is possible that Congress will adopt law changes to Federal Estate Taxes. Consult with your tax professional.</w:t>
            </w:r>
          </w:p>
        </w:tc>
      </w:tr>
      <w:tr w:rsidR="00BD144D" w:rsidRPr="00B261C9" w14:paraId="7D8C0215" w14:textId="77777777" w:rsidTr="00236807">
        <w:trPr>
          <w:trHeight w:val="150"/>
          <w:jc w:val="center"/>
        </w:trPr>
        <w:tc>
          <w:tcPr>
            <w:tcW w:w="3358" w:type="dxa"/>
          </w:tcPr>
          <w:p w14:paraId="2BD6DBF5" w14:textId="42849DB2" w:rsidR="00BD144D" w:rsidRDefault="00BD144D" w:rsidP="00236807">
            <w:pPr>
              <w:tabs>
                <w:tab w:val="left" w:pos="1800"/>
              </w:tabs>
              <w:autoSpaceDE w:val="0"/>
              <w:autoSpaceDN w:val="0"/>
              <w:adjustRightInd w:val="0"/>
              <w:rPr>
                <w:rFonts w:ascii="Times New Roman" w:hAnsi="Times New Roman"/>
              </w:rPr>
            </w:pPr>
            <w:r>
              <w:rPr>
                <w:rFonts w:ascii="Times New Roman" w:hAnsi="Times New Roman"/>
              </w:rPr>
              <w:t>404</w:t>
            </w:r>
          </w:p>
        </w:tc>
        <w:tc>
          <w:tcPr>
            <w:tcW w:w="3203" w:type="dxa"/>
          </w:tcPr>
          <w:p w14:paraId="5693B897"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6CC115E0" w14:textId="7C1D4A13" w:rsidR="00BD144D" w:rsidRPr="00BD144D" w:rsidRDefault="00BD144D" w:rsidP="00BD144D">
            <w:pPr>
              <w:autoSpaceDE w:val="0"/>
              <w:autoSpaceDN w:val="0"/>
              <w:adjustRightInd w:val="0"/>
              <w:rPr>
                <w:rFonts w:ascii="Goudy Oldstyle Std" w:hAnsi="Goudy Oldstyle Std" w:cs="Goudy Oldstyle Std"/>
                <w:color w:val="000000"/>
              </w:rPr>
            </w:pPr>
            <w:r w:rsidRPr="00BD144D">
              <w:rPr>
                <w:rFonts w:ascii="Goudy Oldstyle Std" w:hAnsi="Goudy Oldstyle Std"/>
                <w:color w:val="211D1E"/>
                <w:sz w:val="23"/>
                <w:szCs w:val="23"/>
              </w:rPr>
              <w:t xml:space="preserve">With proper planning, investors may be able to </w:t>
            </w:r>
            <w:r w:rsidRPr="00BD144D">
              <w:rPr>
                <w:rFonts w:ascii="Goudy Oldstyle Std" w:hAnsi="Goudy Oldstyle Std"/>
                <w:color w:val="211D1E"/>
                <w:sz w:val="23"/>
                <w:szCs w:val="23"/>
              </w:rPr>
              <w:lastRenderedPageBreak/>
              <w:t xml:space="preserve">distribute their entire estates by utilizing </w:t>
            </w:r>
            <w:r w:rsidRPr="00BD144D">
              <w:rPr>
                <w:rFonts w:ascii="Goudy Oldstyle Std" w:hAnsi="Goudy Oldstyle Std" w:cs="Goudy Oldstyle Std"/>
                <w:b/>
                <w:bCs/>
                <w:color w:val="211D1E"/>
                <w:sz w:val="23"/>
                <w:szCs w:val="23"/>
              </w:rPr>
              <w:t xml:space="preserve">tax-free gifts </w:t>
            </w:r>
            <w:r w:rsidRPr="00BD144D">
              <w:rPr>
                <w:rFonts w:ascii="Goudy Oldstyle Std" w:hAnsi="Goudy Oldstyle Std" w:cs="Goudy Oldstyle Std"/>
                <w:color w:val="211D1E"/>
                <w:sz w:val="23"/>
                <w:szCs w:val="23"/>
              </w:rPr>
              <w:t xml:space="preserve">to avoid estate taxes. The 2019 law provides gift exemptions of up to $15,000 for each donor per </w:t>
            </w:r>
            <w:proofErr w:type="spellStart"/>
            <w:r w:rsidRPr="00BD144D">
              <w:rPr>
                <w:rFonts w:ascii="Goudy Oldstyle Std" w:hAnsi="Goudy Oldstyle Std" w:cs="Goudy Oldstyle Std"/>
                <w:color w:val="211D1E"/>
                <w:sz w:val="23"/>
                <w:szCs w:val="23"/>
              </w:rPr>
              <w:t>donee</w:t>
            </w:r>
            <w:proofErr w:type="spellEnd"/>
            <w:r w:rsidRPr="00BD144D">
              <w:rPr>
                <w:rFonts w:ascii="Goudy Oldstyle Std" w:hAnsi="Goudy Oldstyle Std" w:cs="Goudy Oldstyle Std"/>
                <w:color w:val="211D1E"/>
                <w:sz w:val="23"/>
                <w:szCs w:val="23"/>
              </w:rPr>
              <w:t xml:space="preserve"> per year. Thus, a husband and wife can gift $30,000 tax free each year to each heir. Gifts in excess of the exemptions are subject to tax at the federal level and at the state level.</w:t>
            </w:r>
          </w:p>
        </w:tc>
        <w:tc>
          <w:tcPr>
            <w:tcW w:w="3193" w:type="dxa"/>
          </w:tcPr>
          <w:p w14:paraId="59798347" w14:textId="77777777" w:rsidR="00BD144D" w:rsidRPr="00BD144D" w:rsidRDefault="00BD144D" w:rsidP="00BD144D">
            <w:pPr>
              <w:autoSpaceDE w:val="0"/>
              <w:autoSpaceDN w:val="0"/>
              <w:adjustRightInd w:val="0"/>
              <w:rPr>
                <w:rFonts w:ascii="Goudy Oldstyle Std" w:hAnsi="Goudy Oldstyle Std" w:cs="Goudy Oldstyle Std"/>
                <w:color w:val="000000"/>
              </w:rPr>
            </w:pPr>
          </w:p>
          <w:p w14:paraId="46712457" w14:textId="618CCA1C" w:rsidR="00BD144D" w:rsidRPr="00BD144D" w:rsidRDefault="00BD144D" w:rsidP="00BD144D">
            <w:pPr>
              <w:autoSpaceDE w:val="0"/>
              <w:autoSpaceDN w:val="0"/>
              <w:adjustRightInd w:val="0"/>
              <w:rPr>
                <w:rFonts w:ascii="Goudy Oldstyle Std" w:hAnsi="Goudy Oldstyle Std" w:cs="Goudy Oldstyle Std"/>
                <w:color w:val="000000"/>
              </w:rPr>
            </w:pPr>
            <w:r w:rsidRPr="00BD144D">
              <w:rPr>
                <w:rFonts w:ascii="Goudy Oldstyle Std" w:hAnsi="Goudy Oldstyle Std"/>
                <w:color w:val="211D1E"/>
                <w:sz w:val="23"/>
                <w:szCs w:val="23"/>
              </w:rPr>
              <w:t xml:space="preserve">With proper planning, investors may be able to </w:t>
            </w:r>
            <w:r w:rsidRPr="00BD144D">
              <w:rPr>
                <w:rFonts w:ascii="Goudy Oldstyle Std" w:hAnsi="Goudy Oldstyle Std"/>
                <w:color w:val="211D1E"/>
                <w:sz w:val="23"/>
                <w:szCs w:val="23"/>
              </w:rPr>
              <w:lastRenderedPageBreak/>
              <w:t xml:space="preserve">distribute their entire estates by utilizing </w:t>
            </w:r>
            <w:r w:rsidRPr="00BD144D">
              <w:rPr>
                <w:rFonts w:ascii="Goudy Oldstyle Std" w:hAnsi="Goudy Oldstyle Std" w:cs="Goudy Oldstyle Std"/>
                <w:b/>
                <w:bCs/>
                <w:color w:val="211D1E"/>
                <w:sz w:val="23"/>
                <w:szCs w:val="23"/>
              </w:rPr>
              <w:t xml:space="preserve">tax-free gifts </w:t>
            </w:r>
            <w:r w:rsidRPr="00BD144D">
              <w:rPr>
                <w:rFonts w:ascii="Goudy Oldstyle Std" w:hAnsi="Goudy Oldstyle Std" w:cs="Goudy Oldstyle Std"/>
                <w:color w:val="211D1E"/>
                <w:sz w:val="23"/>
                <w:szCs w:val="23"/>
              </w:rPr>
              <w:t>to avoid estate taxes. The 2</w:t>
            </w:r>
            <w:r w:rsidRPr="00BD144D">
              <w:rPr>
                <w:rFonts w:ascii="Goudy Oldstyle Std" w:hAnsi="Goudy Oldstyle Std" w:cs="Goudy Oldstyle Std"/>
                <w:color w:val="211D1E"/>
                <w:sz w:val="23"/>
                <w:szCs w:val="23"/>
                <w:highlight w:val="yellow"/>
              </w:rPr>
              <w:t>024</w:t>
            </w:r>
            <w:r w:rsidRPr="00BD144D">
              <w:rPr>
                <w:rFonts w:ascii="Goudy Oldstyle Std" w:hAnsi="Goudy Oldstyle Std" w:cs="Goudy Oldstyle Std"/>
                <w:color w:val="211D1E"/>
                <w:sz w:val="23"/>
                <w:szCs w:val="23"/>
              </w:rPr>
              <w:t xml:space="preserve"> law provides gift exemptions of up to $1</w:t>
            </w:r>
            <w:r w:rsidRPr="00BD144D">
              <w:rPr>
                <w:rFonts w:ascii="Goudy Oldstyle Std" w:hAnsi="Goudy Oldstyle Std" w:cs="Goudy Oldstyle Std"/>
                <w:color w:val="211D1E"/>
                <w:sz w:val="23"/>
                <w:szCs w:val="23"/>
                <w:highlight w:val="yellow"/>
              </w:rPr>
              <w:t>8</w:t>
            </w:r>
            <w:r w:rsidRPr="00BD144D">
              <w:rPr>
                <w:rFonts w:ascii="Goudy Oldstyle Std" w:hAnsi="Goudy Oldstyle Std" w:cs="Goudy Oldstyle Std"/>
                <w:color w:val="211D1E"/>
                <w:sz w:val="23"/>
                <w:szCs w:val="23"/>
              </w:rPr>
              <w:t xml:space="preserve">,000 for each donor per </w:t>
            </w:r>
            <w:proofErr w:type="spellStart"/>
            <w:r w:rsidRPr="00BD144D">
              <w:rPr>
                <w:rFonts w:ascii="Goudy Oldstyle Std" w:hAnsi="Goudy Oldstyle Std" w:cs="Goudy Oldstyle Std"/>
                <w:color w:val="211D1E"/>
                <w:sz w:val="23"/>
                <w:szCs w:val="23"/>
              </w:rPr>
              <w:t>donee</w:t>
            </w:r>
            <w:proofErr w:type="spellEnd"/>
            <w:r w:rsidRPr="00BD144D">
              <w:rPr>
                <w:rFonts w:ascii="Goudy Oldstyle Std" w:hAnsi="Goudy Oldstyle Std" w:cs="Goudy Oldstyle Std"/>
                <w:color w:val="211D1E"/>
                <w:sz w:val="23"/>
                <w:szCs w:val="23"/>
              </w:rPr>
              <w:t xml:space="preserve"> per year. Thus, a husband and wife can gift $3</w:t>
            </w:r>
            <w:r w:rsidRPr="00BD144D">
              <w:rPr>
                <w:rFonts w:ascii="Goudy Oldstyle Std" w:hAnsi="Goudy Oldstyle Std" w:cs="Goudy Oldstyle Std"/>
                <w:color w:val="211D1E"/>
                <w:sz w:val="23"/>
                <w:szCs w:val="23"/>
                <w:highlight w:val="yellow"/>
              </w:rPr>
              <w:t>6</w:t>
            </w:r>
            <w:r w:rsidRPr="00BD144D">
              <w:rPr>
                <w:rFonts w:ascii="Goudy Oldstyle Std" w:hAnsi="Goudy Oldstyle Std" w:cs="Goudy Oldstyle Std"/>
                <w:color w:val="211D1E"/>
                <w:sz w:val="23"/>
                <w:szCs w:val="23"/>
              </w:rPr>
              <w:t>,000 tax free each year to each heir. Gifts in excess of the exemptions are subject to tax at the federal level and at the state level.</w:t>
            </w:r>
          </w:p>
        </w:tc>
      </w:tr>
      <w:tr w:rsidR="00D904B0" w:rsidRPr="00B261C9" w14:paraId="7D28EC54" w14:textId="77777777" w:rsidTr="00236807">
        <w:trPr>
          <w:trHeight w:val="150"/>
          <w:jc w:val="center"/>
        </w:trPr>
        <w:tc>
          <w:tcPr>
            <w:tcW w:w="3358" w:type="dxa"/>
          </w:tcPr>
          <w:p w14:paraId="7A527BA6" w14:textId="51170485" w:rsidR="00D904B0" w:rsidRDefault="00D904B0" w:rsidP="00D904B0">
            <w:pPr>
              <w:tabs>
                <w:tab w:val="left" w:pos="1800"/>
              </w:tabs>
              <w:autoSpaceDE w:val="0"/>
              <w:autoSpaceDN w:val="0"/>
              <w:adjustRightInd w:val="0"/>
              <w:rPr>
                <w:rFonts w:ascii="Times New Roman" w:hAnsi="Times New Roman"/>
              </w:rPr>
            </w:pPr>
            <w:r>
              <w:rPr>
                <w:rFonts w:ascii="Times New Roman" w:hAnsi="Times New Roman"/>
              </w:rPr>
              <w:lastRenderedPageBreak/>
              <w:t>416</w:t>
            </w:r>
          </w:p>
        </w:tc>
        <w:tc>
          <w:tcPr>
            <w:tcW w:w="3203" w:type="dxa"/>
          </w:tcPr>
          <w:p w14:paraId="677BAA43" w14:textId="77777777"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AIR = $21,800</w:t>
            </w:r>
          </w:p>
          <w:p w14:paraId="53F7FCB4" w14:textId="77777777"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w:t>
            </w:r>
          </w:p>
          <w:p w14:paraId="495E767B" w14:textId="5EF7D40F" w:rsidR="00D904B0" w:rsidRPr="00BD144D"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$111,000</w:t>
            </w:r>
          </w:p>
        </w:tc>
        <w:tc>
          <w:tcPr>
            <w:tcW w:w="3193" w:type="dxa"/>
          </w:tcPr>
          <w:p w14:paraId="432364FA" w14:textId="5C55E6A4"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AIR = $21,600</w:t>
            </w:r>
          </w:p>
          <w:p w14:paraId="3FE5A316" w14:textId="77777777" w:rsidR="00D904B0"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w:t>
            </w:r>
          </w:p>
          <w:p w14:paraId="47F42B2B" w14:textId="67AE5BC8" w:rsidR="00D904B0" w:rsidRPr="00BD144D" w:rsidRDefault="00D904B0" w:rsidP="00D904B0">
            <w:pPr>
              <w:autoSpaceDE w:val="0"/>
              <w:autoSpaceDN w:val="0"/>
              <w:adjustRightInd w:val="0"/>
              <w:rPr>
                <w:rFonts w:ascii="Goudy Oldstyle Std" w:hAnsi="Goudy Oldstyle Std" w:cs="Goudy Oldstyle Std"/>
                <w:color w:val="000000"/>
              </w:rPr>
            </w:pPr>
            <w:r>
              <w:rPr>
                <w:rFonts w:ascii="Goudy Oldstyle Std" w:hAnsi="Goudy Oldstyle Std" w:cs="Goudy Oldstyle Std"/>
                <w:color w:val="000000"/>
              </w:rPr>
              <w:t xml:space="preserve">           $111,000</w:t>
            </w:r>
          </w:p>
        </w:tc>
      </w:tr>
      <w:tr w:rsidR="00D904B0" w:rsidRPr="00BD144D" w14:paraId="4A987F6A" w14:textId="77777777" w:rsidTr="00D904B0">
        <w:trPr>
          <w:trHeight w:val="150"/>
          <w:jc w:val="center"/>
        </w:trPr>
        <w:tc>
          <w:tcPr>
            <w:tcW w:w="3358" w:type="dxa"/>
            <w:tcBorders>
              <w:top w:val="single" w:sz="4" w:space="0" w:color="auto"/>
              <w:left w:val="single" w:sz="4" w:space="0" w:color="auto"/>
              <w:bottom w:val="single" w:sz="4" w:space="0" w:color="auto"/>
              <w:right w:val="single" w:sz="4" w:space="0" w:color="auto"/>
            </w:tcBorders>
          </w:tcPr>
          <w:p w14:paraId="051D1F59" w14:textId="77777777" w:rsidR="00D904B0" w:rsidRDefault="00D904B0" w:rsidP="00D904B0">
            <w:pPr>
              <w:tabs>
                <w:tab w:val="left" w:pos="1800"/>
              </w:tabs>
              <w:autoSpaceDE w:val="0"/>
              <w:autoSpaceDN w:val="0"/>
              <w:adjustRightInd w:val="0"/>
              <w:rPr>
                <w:rFonts w:ascii="Times New Roman" w:hAnsi="Times New Roman"/>
              </w:rPr>
            </w:pPr>
            <w:r>
              <w:rPr>
                <w:rFonts w:ascii="Times New Roman" w:hAnsi="Times New Roman"/>
              </w:rPr>
              <w:t>437, Figure 15.7</w:t>
            </w:r>
          </w:p>
        </w:tc>
        <w:tc>
          <w:tcPr>
            <w:tcW w:w="3203" w:type="dxa"/>
            <w:tcBorders>
              <w:top w:val="single" w:sz="4" w:space="0" w:color="auto"/>
              <w:left w:val="single" w:sz="4" w:space="0" w:color="auto"/>
              <w:bottom w:val="single" w:sz="4" w:space="0" w:color="auto"/>
              <w:right w:val="single" w:sz="4" w:space="0" w:color="auto"/>
            </w:tcBorders>
          </w:tcPr>
          <w:p w14:paraId="49485CFE" w14:textId="77777777" w:rsidR="00D904B0" w:rsidRPr="00BD144D" w:rsidRDefault="00D904B0" w:rsidP="00D904B0">
            <w:pPr>
              <w:autoSpaceDE w:val="0"/>
              <w:autoSpaceDN w:val="0"/>
              <w:adjustRightInd w:val="0"/>
              <w:rPr>
                <w:rFonts w:ascii="Helvetica LT Std Light" w:hAnsi="Helvetica LT Std Light" w:cs="Helvetica LT Std Light"/>
                <w:color w:val="00000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10"/>
              <w:gridCol w:w="2210"/>
            </w:tblGrid>
            <w:tr w:rsidR="00D904B0" w:rsidRPr="00BD144D" w14:paraId="0B991F85" w14:textId="77777777" w:rsidTr="005519CC">
              <w:trPr>
                <w:trHeight w:val="104"/>
              </w:trPr>
              <w:tc>
                <w:tcPr>
                  <w:tcW w:w="2210" w:type="dxa"/>
                  <w:tcBorders>
                    <w:top w:val="none" w:sz="6" w:space="0" w:color="auto"/>
                    <w:bottom w:val="none" w:sz="6" w:space="0" w:color="auto"/>
                    <w:right w:val="none" w:sz="6" w:space="0" w:color="auto"/>
                  </w:tcBorders>
                </w:tcPr>
                <w:p w14:paraId="782456EF"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One-family unit </w:t>
                  </w:r>
                </w:p>
              </w:tc>
              <w:tc>
                <w:tcPr>
                  <w:tcW w:w="2210" w:type="dxa"/>
                  <w:tcBorders>
                    <w:top w:val="none" w:sz="6" w:space="0" w:color="auto"/>
                    <w:left w:val="none" w:sz="6" w:space="0" w:color="auto"/>
                    <w:bottom w:val="none" w:sz="6" w:space="0" w:color="auto"/>
                  </w:tcBorders>
                </w:tcPr>
                <w:p w14:paraId="252806C9"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$417,000 </w:t>
                  </w:r>
                </w:p>
              </w:tc>
            </w:tr>
            <w:tr w:rsidR="00D904B0" w:rsidRPr="00BD144D" w14:paraId="4AA42A07" w14:textId="77777777" w:rsidTr="005519CC">
              <w:trPr>
                <w:trHeight w:val="104"/>
              </w:trPr>
              <w:tc>
                <w:tcPr>
                  <w:tcW w:w="2210" w:type="dxa"/>
                  <w:tcBorders>
                    <w:top w:val="none" w:sz="6" w:space="0" w:color="auto"/>
                    <w:bottom w:val="none" w:sz="6" w:space="0" w:color="auto"/>
                    <w:right w:val="none" w:sz="6" w:space="0" w:color="auto"/>
                  </w:tcBorders>
                </w:tcPr>
                <w:p w14:paraId="0C5AE445"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Two-family unit </w:t>
                  </w:r>
                </w:p>
              </w:tc>
              <w:tc>
                <w:tcPr>
                  <w:tcW w:w="2210" w:type="dxa"/>
                  <w:tcBorders>
                    <w:top w:val="none" w:sz="6" w:space="0" w:color="auto"/>
                    <w:left w:val="none" w:sz="6" w:space="0" w:color="auto"/>
                    <w:bottom w:val="none" w:sz="6" w:space="0" w:color="auto"/>
                  </w:tcBorders>
                </w:tcPr>
                <w:p w14:paraId="15F3F253"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$533,850 </w:t>
                  </w:r>
                </w:p>
              </w:tc>
            </w:tr>
            <w:tr w:rsidR="00D904B0" w:rsidRPr="00BD144D" w14:paraId="1FB50498" w14:textId="77777777" w:rsidTr="005519CC">
              <w:trPr>
                <w:trHeight w:val="104"/>
              </w:trPr>
              <w:tc>
                <w:tcPr>
                  <w:tcW w:w="2210" w:type="dxa"/>
                  <w:tcBorders>
                    <w:top w:val="none" w:sz="6" w:space="0" w:color="auto"/>
                    <w:bottom w:val="none" w:sz="6" w:space="0" w:color="auto"/>
                    <w:right w:val="none" w:sz="6" w:space="0" w:color="auto"/>
                  </w:tcBorders>
                </w:tcPr>
                <w:p w14:paraId="16ED1A26"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Three-family unit </w:t>
                  </w:r>
                </w:p>
              </w:tc>
              <w:tc>
                <w:tcPr>
                  <w:tcW w:w="2210" w:type="dxa"/>
                  <w:tcBorders>
                    <w:top w:val="none" w:sz="6" w:space="0" w:color="auto"/>
                    <w:left w:val="none" w:sz="6" w:space="0" w:color="auto"/>
                    <w:bottom w:val="none" w:sz="6" w:space="0" w:color="auto"/>
                  </w:tcBorders>
                </w:tcPr>
                <w:p w14:paraId="2110E1D9"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$645,300 </w:t>
                  </w:r>
                </w:p>
              </w:tc>
            </w:tr>
            <w:tr w:rsidR="00D904B0" w:rsidRPr="00BD144D" w14:paraId="5948A795" w14:textId="77777777" w:rsidTr="005519CC">
              <w:trPr>
                <w:trHeight w:val="104"/>
              </w:trPr>
              <w:tc>
                <w:tcPr>
                  <w:tcW w:w="2210" w:type="dxa"/>
                  <w:tcBorders>
                    <w:top w:val="none" w:sz="6" w:space="0" w:color="auto"/>
                    <w:bottom w:val="none" w:sz="6" w:space="0" w:color="auto"/>
                    <w:right w:val="none" w:sz="6" w:space="0" w:color="auto"/>
                  </w:tcBorders>
                </w:tcPr>
                <w:p w14:paraId="7E7E0EFC"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Four-family unit </w:t>
                  </w:r>
                </w:p>
              </w:tc>
              <w:tc>
                <w:tcPr>
                  <w:tcW w:w="2210" w:type="dxa"/>
                  <w:tcBorders>
                    <w:top w:val="none" w:sz="6" w:space="0" w:color="auto"/>
                    <w:left w:val="none" w:sz="6" w:space="0" w:color="auto"/>
                    <w:bottom w:val="none" w:sz="6" w:space="0" w:color="auto"/>
                  </w:tcBorders>
                </w:tcPr>
                <w:p w14:paraId="4511DC99" w14:textId="77777777" w:rsidR="00D904B0" w:rsidRPr="00BD144D" w:rsidRDefault="00D904B0" w:rsidP="00D904B0">
                  <w:pPr>
                    <w:autoSpaceDE w:val="0"/>
                    <w:autoSpaceDN w:val="0"/>
                    <w:adjustRightInd w:val="0"/>
                    <w:spacing w:line="171" w:lineRule="atLeast"/>
                    <w:rPr>
                      <w:rFonts w:ascii="Helvetica LT Std Light" w:hAnsi="Helvetica LT Std Light" w:cs="Helvetica LT Std Light"/>
                      <w:color w:val="211D1E"/>
                      <w:sz w:val="17"/>
                      <w:szCs w:val="17"/>
                    </w:rPr>
                  </w:pPr>
                  <w:r w:rsidRPr="00BD144D">
                    <w:rPr>
                      <w:rFonts w:ascii="Helvetica LT Std Light" w:hAnsi="Helvetica LT Std Light" w:cs="Helvetica LT Std Light"/>
                      <w:color w:val="211D1E"/>
                      <w:sz w:val="17"/>
                      <w:szCs w:val="17"/>
                    </w:rPr>
                    <w:t xml:space="preserve">$801,950 </w:t>
                  </w:r>
                </w:p>
              </w:tc>
            </w:tr>
          </w:tbl>
          <w:p w14:paraId="5351DC57" w14:textId="77777777" w:rsidR="00D904B0" w:rsidRPr="00D904B0" w:rsidRDefault="00D904B0" w:rsidP="00D904B0">
            <w:pPr>
              <w:autoSpaceDE w:val="0"/>
              <w:autoSpaceDN w:val="0"/>
              <w:adjustRightInd w:val="0"/>
              <w:rPr>
                <w:rFonts w:ascii="Helvetica LT Std Light" w:hAnsi="Helvetica LT Std Light" w:cs="Helvetica LT Std Light"/>
                <w:color w:val="000000"/>
              </w:rPr>
            </w:pPr>
          </w:p>
        </w:tc>
        <w:tc>
          <w:tcPr>
            <w:tcW w:w="3193" w:type="dxa"/>
            <w:tcBorders>
              <w:top w:val="single" w:sz="4" w:space="0" w:color="auto"/>
              <w:left w:val="single" w:sz="4" w:space="0" w:color="auto"/>
              <w:bottom w:val="single" w:sz="4" w:space="0" w:color="auto"/>
              <w:right w:val="single" w:sz="4" w:space="0" w:color="auto"/>
            </w:tcBorders>
          </w:tcPr>
          <w:p w14:paraId="6C2551D8"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One unit</w:t>
            </w:r>
            <w:r>
              <w:rPr>
                <w:rFonts w:ascii="Segoe UI" w:hAnsi="Segoe UI" w:cs="Segoe UI"/>
                <w:color w:val="000000"/>
                <w:sz w:val="20"/>
                <w:szCs w:val="20"/>
              </w:rPr>
              <w:tab/>
            </w:r>
            <w:r w:rsidRPr="00BD144D">
              <w:rPr>
                <w:rFonts w:ascii="Segoe UI" w:hAnsi="Segoe UI" w:cs="Segoe UI"/>
                <w:color w:val="000000"/>
                <w:sz w:val="20"/>
                <w:szCs w:val="20"/>
                <w:highlight w:val="yellow"/>
              </w:rPr>
              <w:t>$766,550</w:t>
            </w:r>
          </w:p>
          <w:p w14:paraId="6EC1ABC0"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Two unit</w:t>
            </w:r>
            <w:r>
              <w:rPr>
                <w:rFonts w:ascii="Segoe UI" w:hAnsi="Segoe UI" w:cs="Segoe UI"/>
                <w:color w:val="000000"/>
                <w:sz w:val="20"/>
                <w:szCs w:val="20"/>
              </w:rPr>
              <w:tab/>
            </w:r>
            <w:r w:rsidRPr="00BD144D">
              <w:rPr>
                <w:rFonts w:ascii="Segoe UI" w:hAnsi="Segoe UI" w:cs="Segoe UI"/>
                <w:color w:val="000000"/>
                <w:sz w:val="20"/>
                <w:szCs w:val="20"/>
                <w:highlight w:val="yellow"/>
              </w:rPr>
              <w:t>$981,500</w:t>
            </w:r>
          </w:p>
          <w:p w14:paraId="16E6CE54"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Three unit</w:t>
            </w:r>
            <w:r>
              <w:rPr>
                <w:rFonts w:ascii="Segoe UI" w:hAnsi="Segoe UI" w:cs="Segoe UI"/>
                <w:color w:val="000000"/>
                <w:sz w:val="20"/>
                <w:szCs w:val="20"/>
              </w:rPr>
              <w:tab/>
            </w:r>
            <w:r w:rsidRPr="00BD144D">
              <w:rPr>
                <w:rFonts w:ascii="Segoe UI" w:hAnsi="Segoe UI" w:cs="Segoe UI"/>
                <w:color w:val="000000"/>
                <w:sz w:val="20"/>
                <w:szCs w:val="20"/>
                <w:highlight w:val="yellow"/>
              </w:rPr>
              <w:t>$1,186,350</w:t>
            </w:r>
          </w:p>
          <w:p w14:paraId="2F861D72" w14:textId="77777777" w:rsidR="00D904B0" w:rsidRDefault="00D904B0"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Four unit</w:t>
            </w:r>
            <w:r>
              <w:rPr>
                <w:rFonts w:ascii="Segoe UI" w:hAnsi="Segoe UI" w:cs="Segoe UI"/>
                <w:color w:val="000000"/>
                <w:sz w:val="20"/>
                <w:szCs w:val="20"/>
              </w:rPr>
              <w:tab/>
            </w:r>
            <w:r w:rsidRPr="00BD144D">
              <w:rPr>
                <w:rFonts w:ascii="Segoe UI" w:hAnsi="Segoe UI" w:cs="Segoe UI"/>
                <w:color w:val="000000"/>
                <w:sz w:val="20"/>
                <w:szCs w:val="20"/>
                <w:highlight w:val="yellow"/>
              </w:rPr>
              <w:t>$1,474,400</w:t>
            </w:r>
          </w:p>
          <w:p w14:paraId="4601B563" w14:textId="77777777" w:rsidR="00D904B0" w:rsidRPr="00D904B0" w:rsidRDefault="00D904B0" w:rsidP="00D904B0">
            <w:pPr>
              <w:autoSpaceDE w:val="0"/>
              <w:autoSpaceDN w:val="0"/>
              <w:adjustRightInd w:val="0"/>
              <w:rPr>
                <w:rFonts w:ascii="Segoe UI" w:hAnsi="Segoe UI" w:cs="Segoe UI"/>
                <w:color w:val="000000"/>
                <w:sz w:val="20"/>
                <w:szCs w:val="20"/>
              </w:rPr>
            </w:pPr>
          </w:p>
        </w:tc>
      </w:tr>
      <w:tr w:rsidR="00D833E5" w:rsidRPr="00BD144D" w14:paraId="55F3DF2C" w14:textId="77777777" w:rsidTr="00D904B0">
        <w:trPr>
          <w:trHeight w:val="150"/>
          <w:jc w:val="center"/>
        </w:trPr>
        <w:tc>
          <w:tcPr>
            <w:tcW w:w="3358" w:type="dxa"/>
            <w:tcBorders>
              <w:top w:val="single" w:sz="4" w:space="0" w:color="auto"/>
              <w:left w:val="single" w:sz="4" w:space="0" w:color="auto"/>
              <w:bottom w:val="single" w:sz="4" w:space="0" w:color="auto"/>
              <w:right w:val="single" w:sz="4" w:space="0" w:color="auto"/>
            </w:tcBorders>
          </w:tcPr>
          <w:p w14:paraId="6AF9F7F1" w14:textId="2B0D8755" w:rsidR="00D833E5" w:rsidRDefault="00D833E5" w:rsidP="00D904B0">
            <w:pPr>
              <w:tabs>
                <w:tab w:val="left" w:pos="1800"/>
              </w:tabs>
              <w:autoSpaceDE w:val="0"/>
              <w:autoSpaceDN w:val="0"/>
              <w:adjustRightInd w:val="0"/>
              <w:rPr>
                <w:rFonts w:ascii="Times New Roman" w:hAnsi="Times New Roman"/>
              </w:rPr>
            </w:pPr>
            <w:r>
              <w:rPr>
                <w:rFonts w:ascii="Times New Roman" w:hAnsi="Times New Roman"/>
              </w:rPr>
              <w:t>454, Unit 12, Question #10</w:t>
            </w:r>
          </w:p>
        </w:tc>
        <w:tc>
          <w:tcPr>
            <w:tcW w:w="3203" w:type="dxa"/>
            <w:tcBorders>
              <w:top w:val="single" w:sz="4" w:space="0" w:color="auto"/>
              <w:left w:val="single" w:sz="4" w:space="0" w:color="auto"/>
              <w:bottom w:val="single" w:sz="4" w:space="0" w:color="auto"/>
              <w:right w:val="single" w:sz="4" w:space="0" w:color="auto"/>
            </w:tcBorders>
          </w:tcPr>
          <w:p w14:paraId="12A9C187" w14:textId="29B8F7F8" w:rsidR="00D833E5" w:rsidRPr="00BD144D" w:rsidRDefault="00D833E5" w:rsidP="00D904B0">
            <w:pPr>
              <w:autoSpaceDE w:val="0"/>
              <w:autoSpaceDN w:val="0"/>
              <w:adjustRightInd w:val="0"/>
              <w:rPr>
                <w:rFonts w:ascii="Helvetica LT Std Light" w:hAnsi="Helvetica LT Std Light" w:cs="Helvetica LT Std Light"/>
                <w:color w:val="000000"/>
              </w:rPr>
            </w:pPr>
            <w:r>
              <w:rPr>
                <w:rFonts w:ascii="Helvetica LT Std Light" w:hAnsi="Helvetica LT Std Light" w:cs="Helvetica LT Std Light"/>
                <w:color w:val="000000"/>
              </w:rPr>
              <w:t>10. d</w:t>
            </w:r>
          </w:p>
        </w:tc>
        <w:tc>
          <w:tcPr>
            <w:tcW w:w="3193" w:type="dxa"/>
            <w:tcBorders>
              <w:top w:val="single" w:sz="4" w:space="0" w:color="auto"/>
              <w:left w:val="single" w:sz="4" w:space="0" w:color="auto"/>
              <w:bottom w:val="single" w:sz="4" w:space="0" w:color="auto"/>
              <w:right w:val="single" w:sz="4" w:space="0" w:color="auto"/>
            </w:tcBorders>
          </w:tcPr>
          <w:p w14:paraId="15721DF4" w14:textId="2B2DDE58" w:rsidR="00D833E5" w:rsidRDefault="00D833E5" w:rsidP="00D904B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10.</w:t>
            </w:r>
            <w:bookmarkStart w:id="0" w:name="_GoBack"/>
            <w:bookmarkEnd w:id="0"/>
            <w:r>
              <w:rPr>
                <w:rFonts w:ascii="Segoe UI" w:hAnsi="Segoe UI" w:cs="Segoe UI"/>
                <w:color w:val="000000"/>
                <w:sz w:val="20"/>
                <w:szCs w:val="20"/>
              </w:rPr>
              <w:t xml:space="preserve"> a</w:t>
            </w:r>
          </w:p>
        </w:tc>
      </w:tr>
    </w:tbl>
    <w:p w14:paraId="29624A5F" w14:textId="77777777"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A17F8" w14:textId="77777777" w:rsidR="00E04CE3" w:rsidRDefault="00E04CE3">
      <w:r>
        <w:separator/>
      </w:r>
    </w:p>
  </w:endnote>
  <w:endnote w:type="continuationSeparator" w:id="0">
    <w:p w14:paraId="1D26AB5C"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1D81"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0A9DD7C6"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9648" w14:textId="77777777"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w:t>
    </w:r>
    <w:r w:rsidR="00236807">
      <w:rPr>
        <w:rFonts w:ascii="Arial" w:hAnsi="Arial" w:cs="Arial"/>
        <w:sz w:val="20"/>
        <w:szCs w:val="20"/>
      </w:rPr>
      <w:t>22</w:t>
    </w:r>
    <w:r w:rsidRPr="00D25C2E">
      <w:rPr>
        <w:rFonts w:ascii="Arial" w:hAnsi="Arial" w:cs="Arial"/>
        <w:sz w:val="20"/>
        <w:szCs w:val="20"/>
      </w:rPr>
      <w:t xml:space="preserve"> Kaplan, Inc.</w:t>
    </w:r>
  </w:p>
  <w:p w14:paraId="0DFEF2CB"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313AC" w14:textId="77777777" w:rsidR="00E04CE3" w:rsidRDefault="00E04CE3">
      <w:r>
        <w:separator/>
      </w:r>
    </w:p>
  </w:footnote>
  <w:footnote w:type="continuationSeparator" w:id="0">
    <w:p w14:paraId="7A48E436"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D570" w14:textId="77777777" w:rsidR="0094174A" w:rsidRPr="00236807" w:rsidRDefault="00236807" w:rsidP="00236807">
    <w:pPr>
      <w:pStyle w:val="Header"/>
      <w:jc w:val="right"/>
    </w:pPr>
    <w:r w:rsidRPr="00236807">
      <w:rPr>
        <w:rFonts w:ascii="Arial" w:hAnsi="Arial" w:cs="Arial"/>
        <w:i/>
        <w:sz w:val="20"/>
        <w:szCs w:val="20"/>
      </w:rPr>
      <w:t>California Real Estate Finance 10th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E7E"/>
    <w:rsid w:val="002232CD"/>
    <w:rsid w:val="00236807"/>
    <w:rsid w:val="00267DBC"/>
    <w:rsid w:val="002B00B8"/>
    <w:rsid w:val="002B6B68"/>
    <w:rsid w:val="00356FB2"/>
    <w:rsid w:val="003D4AB7"/>
    <w:rsid w:val="003F134C"/>
    <w:rsid w:val="00400649"/>
    <w:rsid w:val="004147EB"/>
    <w:rsid w:val="00414AE1"/>
    <w:rsid w:val="0044429C"/>
    <w:rsid w:val="004A05EC"/>
    <w:rsid w:val="004F1FBD"/>
    <w:rsid w:val="00530ADE"/>
    <w:rsid w:val="00565E49"/>
    <w:rsid w:val="00587BE3"/>
    <w:rsid w:val="005B5AB5"/>
    <w:rsid w:val="005B79D6"/>
    <w:rsid w:val="005C740F"/>
    <w:rsid w:val="006217A0"/>
    <w:rsid w:val="0068025B"/>
    <w:rsid w:val="00705BF4"/>
    <w:rsid w:val="007214B0"/>
    <w:rsid w:val="007C0232"/>
    <w:rsid w:val="00877CFE"/>
    <w:rsid w:val="008A3D69"/>
    <w:rsid w:val="00927FB5"/>
    <w:rsid w:val="0094174A"/>
    <w:rsid w:val="00951A95"/>
    <w:rsid w:val="0099521C"/>
    <w:rsid w:val="009F7F37"/>
    <w:rsid w:val="00A410F8"/>
    <w:rsid w:val="00A54C6C"/>
    <w:rsid w:val="00AB5671"/>
    <w:rsid w:val="00AD6786"/>
    <w:rsid w:val="00AF33C8"/>
    <w:rsid w:val="00B20D6C"/>
    <w:rsid w:val="00B261C9"/>
    <w:rsid w:val="00B4617B"/>
    <w:rsid w:val="00BD144D"/>
    <w:rsid w:val="00BF3FA6"/>
    <w:rsid w:val="00C26D47"/>
    <w:rsid w:val="00D00B2E"/>
    <w:rsid w:val="00D15438"/>
    <w:rsid w:val="00D70BAC"/>
    <w:rsid w:val="00D815DC"/>
    <w:rsid w:val="00D833E5"/>
    <w:rsid w:val="00D904B0"/>
    <w:rsid w:val="00DE2E72"/>
    <w:rsid w:val="00E04CE3"/>
    <w:rsid w:val="00E1651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AA66B"/>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customStyle="1" w:styleId="Pa45">
    <w:name w:val="Pa45"/>
    <w:basedOn w:val="Default"/>
    <w:next w:val="Default"/>
    <w:uiPriority w:val="99"/>
    <w:rsid w:val="00BD144D"/>
    <w:pPr>
      <w:widowControl/>
      <w:spacing w:line="171" w:lineRule="atLeast"/>
    </w:pPr>
    <w:rPr>
      <w:rFonts w:ascii="Helvetica LT Std Light" w:hAnsi="Helvetica LT Std Light"/>
      <w:color w:val="auto"/>
    </w:rPr>
  </w:style>
  <w:style w:type="paragraph" w:customStyle="1" w:styleId="Pa28">
    <w:name w:val="Pa28"/>
    <w:basedOn w:val="Default"/>
    <w:next w:val="Default"/>
    <w:uiPriority w:val="99"/>
    <w:rsid w:val="00BD144D"/>
    <w:pPr>
      <w:widowControl/>
      <w:spacing w:line="171" w:lineRule="atLeast"/>
    </w:pPr>
    <w:rPr>
      <w:rFonts w:ascii="Helvetica LT Std Light" w:hAnsi="Helvetica LT Std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1069</Words>
  <Characters>5481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Adam Bissen</cp:lastModifiedBy>
  <cp:revision>3</cp:revision>
  <cp:lastPrinted>2006-08-18T16:15:00Z</cp:lastPrinted>
  <dcterms:created xsi:type="dcterms:W3CDTF">2024-06-12T15:24:00Z</dcterms:created>
  <dcterms:modified xsi:type="dcterms:W3CDTF">2024-06-12T15:27:00Z</dcterms:modified>
</cp:coreProperties>
</file>