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E2E0E">
        <w:rPr>
          <w:rFonts w:ascii="Times New Roman" w:hAnsi="Times New Roman"/>
          <w:i/>
        </w:rPr>
        <w:t>Modern Real Estate Practice in Illinois,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3600"/>
        <w:gridCol w:w="3869"/>
      </w:tblGrid>
      <w:tr w:rsidR="00B261C9" w:rsidRPr="00B261C9" w:rsidTr="00F533CB">
        <w:trPr>
          <w:trHeight w:val="144"/>
          <w:jc w:val="center"/>
        </w:trPr>
        <w:tc>
          <w:tcPr>
            <w:tcW w:w="260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60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86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F533CB">
        <w:trPr>
          <w:trHeight w:val="150"/>
          <w:jc w:val="center"/>
        </w:trPr>
        <w:tc>
          <w:tcPr>
            <w:tcW w:w="2609" w:type="dxa"/>
          </w:tcPr>
          <w:p w:rsidR="00B261C9" w:rsidRPr="00AF33C8" w:rsidRDefault="007E2E0E" w:rsidP="007E2E0E">
            <w:pPr>
              <w:tabs>
                <w:tab w:val="left" w:pos="1800"/>
              </w:tabs>
              <w:autoSpaceDE w:val="0"/>
              <w:autoSpaceDN w:val="0"/>
              <w:adjustRightInd w:val="0"/>
              <w:rPr>
                <w:rFonts w:ascii="Times New Roman" w:hAnsi="Times New Roman"/>
              </w:rPr>
            </w:pPr>
            <w:r>
              <w:rPr>
                <w:rFonts w:ascii="Times New Roman" w:hAnsi="Times New Roman"/>
              </w:rPr>
              <w:t>Throughout text</w:t>
            </w:r>
          </w:p>
        </w:tc>
        <w:tc>
          <w:tcPr>
            <w:tcW w:w="3600" w:type="dxa"/>
          </w:tcPr>
          <w:p w:rsidR="00B261C9" w:rsidRPr="00AF33C8" w:rsidRDefault="007E2E0E" w:rsidP="00B261C9">
            <w:pPr>
              <w:tabs>
                <w:tab w:val="left" w:pos="1800"/>
              </w:tabs>
              <w:autoSpaceDE w:val="0"/>
              <w:autoSpaceDN w:val="0"/>
              <w:adjustRightInd w:val="0"/>
              <w:rPr>
                <w:rFonts w:ascii="Times New Roman" w:hAnsi="Times New Roman"/>
              </w:rPr>
            </w:pPr>
            <w:r>
              <w:rPr>
                <w:rFonts w:ascii="Times New Roman" w:hAnsi="Times New Roman"/>
              </w:rPr>
              <w:t>leasing agent</w:t>
            </w:r>
          </w:p>
        </w:tc>
        <w:tc>
          <w:tcPr>
            <w:tcW w:w="3869" w:type="dxa"/>
          </w:tcPr>
          <w:p w:rsidR="00B261C9" w:rsidRPr="00AF33C8" w:rsidRDefault="007E2E0E" w:rsidP="00B261C9">
            <w:pPr>
              <w:tabs>
                <w:tab w:val="left" w:pos="1800"/>
              </w:tabs>
              <w:autoSpaceDE w:val="0"/>
              <w:autoSpaceDN w:val="0"/>
              <w:adjustRightInd w:val="0"/>
              <w:rPr>
                <w:rFonts w:ascii="Times New Roman" w:hAnsi="Times New Roman"/>
              </w:rPr>
            </w:pPr>
            <w:r>
              <w:rPr>
                <w:rFonts w:ascii="Times New Roman" w:hAnsi="Times New Roman"/>
              </w:rPr>
              <w:t>residential leasing agent</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66, Designated Managing Brokers</w:t>
            </w:r>
          </w:p>
        </w:tc>
        <w:tc>
          <w:tcPr>
            <w:tcW w:w="3600" w:type="dxa"/>
          </w:tcPr>
          <w:p w:rsidR="007E2E0E" w:rsidRPr="007E2E0E" w:rsidRDefault="007E2E0E" w:rsidP="007E2E0E">
            <w:pPr>
              <w:autoSpaceDE w:val="0"/>
              <w:autoSpaceDN w:val="0"/>
              <w:adjustRightInd w:val="0"/>
              <w:rPr>
                <w:rFonts w:ascii="Adobe Garamond Pro" w:hAnsi="Adobe Garamond Pro" w:cs="Adobe Garamond Pro"/>
                <w:color w:val="000000"/>
              </w:rPr>
            </w:pPr>
          </w:p>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The sponsoring broker designates the designated managing broker with supervisory duties and legally appoints that individual to oversee the office.</w:t>
            </w:r>
          </w:p>
        </w:tc>
        <w:tc>
          <w:tcPr>
            <w:tcW w:w="3869" w:type="dxa"/>
          </w:tcPr>
          <w:p w:rsidR="007E2E0E" w:rsidRPr="007E2E0E" w:rsidRDefault="007E2E0E" w:rsidP="007E2E0E">
            <w:pPr>
              <w:autoSpaceDE w:val="0"/>
              <w:autoSpaceDN w:val="0"/>
              <w:adjustRightInd w:val="0"/>
              <w:rPr>
                <w:rFonts w:ascii="Adobe Garamond Pro" w:hAnsi="Adobe Garamond Pro" w:cs="Adobe Garamond Pro"/>
                <w:color w:val="000000"/>
              </w:rPr>
            </w:pPr>
          </w:p>
          <w:p w:rsidR="007E2E0E" w:rsidRDefault="007E2E0E" w:rsidP="007E2E0E">
            <w:pPr>
              <w:tabs>
                <w:tab w:val="left" w:pos="1800"/>
              </w:tabs>
              <w:autoSpaceDE w:val="0"/>
              <w:autoSpaceDN w:val="0"/>
              <w:adjustRightInd w:val="0"/>
              <w:rPr>
                <w:rFonts w:ascii="Times New Roman" w:hAnsi="Times New Roman"/>
              </w:rPr>
            </w:pPr>
            <w:r>
              <w:rPr>
                <w:rFonts w:ascii="Adobe Garamond Pro" w:hAnsi="Adobe Garamond Pro"/>
                <w:color w:val="221E1F"/>
                <w:sz w:val="22"/>
                <w:szCs w:val="22"/>
              </w:rPr>
              <w:t>The sponsoring broker assigns</w:t>
            </w:r>
            <w:r w:rsidRPr="007E2E0E">
              <w:rPr>
                <w:rFonts w:ascii="Adobe Garamond Pro" w:hAnsi="Adobe Garamond Pro"/>
                <w:color w:val="221E1F"/>
                <w:sz w:val="22"/>
                <w:szCs w:val="22"/>
              </w:rPr>
              <w:t xml:space="preserve"> the designated managing broker with supervisory duties and legally appoints that individual to oversee the office.</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66, Designated Managing Brokers</w:t>
            </w:r>
          </w:p>
        </w:tc>
        <w:tc>
          <w:tcPr>
            <w:tcW w:w="3600" w:type="dxa"/>
          </w:tcPr>
          <w:p w:rsidR="007E2E0E" w:rsidRPr="007E2E0E" w:rsidRDefault="007E2E0E" w:rsidP="007E2E0E">
            <w:pPr>
              <w:autoSpaceDE w:val="0"/>
              <w:autoSpaceDN w:val="0"/>
              <w:adjustRightInd w:val="0"/>
              <w:rPr>
                <w:rFonts w:ascii="Adobe Garamond Pro" w:hAnsi="Adobe Garamond Pro" w:cs="Adobe Garamond Pro"/>
                <w:color w:val="000000"/>
              </w:rPr>
            </w:pPr>
          </w:p>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A sponsoring broker may also be the designated managing broker of an office or may appoint a designated managing broker to serve as the designated managing broker of several branch offices, or different designated managing brokers may be responsible for individual branch offices.</w:t>
            </w:r>
          </w:p>
        </w:tc>
        <w:tc>
          <w:tcPr>
            <w:tcW w:w="3869" w:type="dxa"/>
          </w:tcPr>
          <w:p w:rsidR="007E2E0E" w:rsidRPr="007E2E0E" w:rsidRDefault="007E2E0E" w:rsidP="007E2E0E">
            <w:pPr>
              <w:autoSpaceDE w:val="0"/>
              <w:autoSpaceDN w:val="0"/>
              <w:adjustRightInd w:val="0"/>
              <w:rPr>
                <w:rFonts w:ascii="Adobe Garamond Pro" w:hAnsi="Adobe Garamond Pro" w:cs="Adobe Garamond Pro"/>
                <w:color w:val="000000"/>
              </w:rPr>
            </w:pPr>
          </w:p>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A sponsoring broker may also be the designated managing broker of an office or may appoint a designated managing broker to serve </w:t>
            </w:r>
            <w:r>
              <w:rPr>
                <w:rFonts w:ascii="Adobe Garamond Pro" w:hAnsi="Adobe Garamond Pro"/>
                <w:color w:val="221E1F"/>
                <w:sz w:val="22"/>
                <w:szCs w:val="22"/>
              </w:rPr>
              <w:t>for several branch offices. D</w:t>
            </w:r>
            <w:r w:rsidRPr="007E2E0E">
              <w:rPr>
                <w:rFonts w:ascii="Adobe Garamond Pro" w:hAnsi="Adobe Garamond Pro"/>
                <w:color w:val="221E1F"/>
                <w:sz w:val="22"/>
                <w:szCs w:val="22"/>
              </w:rPr>
              <w:t>ifferent designated managing brokers may be responsible for individual branch offices.</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66, 2</w:t>
            </w:r>
            <w:r w:rsidRPr="007E2E0E">
              <w:rPr>
                <w:rFonts w:ascii="Times New Roman" w:hAnsi="Times New Roman"/>
                <w:vertAlign w:val="superscript"/>
              </w:rPr>
              <w:t>nd</w:t>
            </w:r>
            <w:r>
              <w:rPr>
                <w:rFonts w:ascii="Times New Roman" w:hAnsi="Times New Roman"/>
              </w:rPr>
              <w:t xml:space="preserve"> paragraph under Designated Managing Brokers</w:t>
            </w:r>
          </w:p>
        </w:tc>
        <w:tc>
          <w:tcPr>
            <w:tcW w:w="3600" w:type="dxa"/>
          </w:tcPr>
          <w:p w:rsidR="007E2E0E" w:rsidRDefault="007E2E0E" w:rsidP="007E2E0E">
            <w:pPr>
              <w:tabs>
                <w:tab w:val="left" w:pos="1800"/>
              </w:tabs>
              <w:autoSpaceDE w:val="0"/>
              <w:autoSpaceDN w:val="0"/>
              <w:adjustRightInd w:val="0"/>
              <w:rPr>
                <w:rFonts w:ascii="Times New Roman" w:hAnsi="Times New Roman"/>
              </w:rPr>
            </w:pPr>
          </w:p>
        </w:tc>
        <w:tc>
          <w:tcPr>
            <w:tcW w:w="386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DELETED</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lastRenderedPageBreak/>
              <w:t>p. 68, Designated Managing Broker Responsibilities</w:t>
            </w:r>
          </w:p>
        </w:tc>
        <w:tc>
          <w:tcPr>
            <w:tcW w:w="3600"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Sometimes, in the case of a sole proprietorship, the managing broker and the sponsoring broker are one and the same.</w:t>
            </w:r>
          </w:p>
        </w:tc>
        <w:tc>
          <w:tcPr>
            <w:tcW w:w="3869"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Sometimes, in the case of a sole proprietorship, the </w:t>
            </w:r>
            <w:r>
              <w:rPr>
                <w:rFonts w:ascii="Adobe Garamond Pro" w:hAnsi="Adobe Garamond Pro"/>
                <w:color w:val="221E1F"/>
                <w:sz w:val="22"/>
                <w:szCs w:val="22"/>
              </w:rPr>
              <w:t xml:space="preserve">designated </w:t>
            </w:r>
            <w:r w:rsidRPr="007E2E0E">
              <w:rPr>
                <w:rFonts w:ascii="Adobe Garamond Pro" w:hAnsi="Adobe Garamond Pro"/>
                <w:color w:val="221E1F"/>
                <w:sz w:val="22"/>
                <w:szCs w:val="22"/>
              </w:rPr>
              <w:t>managing broker and the sponsoring broker are one and the same.</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68, Working With New Licensees</w:t>
            </w:r>
          </w:p>
        </w:tc>
        <w:tc>
          <w:tcPr>
            <w:tcW w:w="3600"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The designated managing broker has the responsibility for handling all earnest money, escrows, and contract negotiations for all transactions where the designated agent for the transaction has not completed the 45 hours of </w:t>
            </w:r>
            <w:proofErr w:type="spellStart"/>
            <w:r w:rsidRPr="007E2E0E">
              <w:rPr>
                <w:rFonts w:ascii="Adobe Garamond Pro" w:hAnsi="Adobe Garamond Pro"/>
                <w:color w:val="221E1F"/>
                <w:sz w:val="22"/>
                <w:szCs w:val="22"/>
              </w:rPr>
              <w:t>postlicense</w:t>
            </w:r>
            <w:proofErr w:type="spellEnd"/>
            <w:r w:rsidRPr="007E2E0E">
              <w:rPr>
                <w:rFonts w:ascii="Adobe Garamond Pro" w:hAnsi="Adobe Garamond Pro"/>
                <w:color w:val="221E1F"/>
                <w:sz w:val="22"/>
                <w:szCs w:val="22"/>
              </w:rPr>
              <w:t xml:space="preserve"> education, as well as the approval of all advertisements involving a licensee who has not completed the 45 hours of </w:t>
            </w:r>
            <w:proofErr w:type="spellStart"/>
            <w:r w:rsidRPr="007E2E0E">
              <w:rPr>
                <w:rFonts w:ascii="Adobe Garamond Pro" w:hAnsi="Adobe Garamond Pro"/>
                <w:color w:val="221E1F"/>
                <w:sz w:val="22"/>
                <w:szCs w:val="22"/>
              </w:rPr>
              <w:t>postlicense</w:t>
            </w:r>
            <w:proofErr w:type="spellEnd"/>
            <w:r w:rsidRPr="007E2E0E">
              <w:rPr>
                <w:rFonts w:ascii="Adobe Garamond Pro" w:hAnsi="Adobe Garamond Pro"/>
                <w:color w:val="221E1F"/>
                <w:sz w:val="22"/>
                <w:szCs w:val="22"/>
              </w:rPr>
              <w:t xml:space="preserve"> education. Licensees that have not completed their 45 hours of </w:t>
            </w:r>
            <w:proofErr w:type="spellStart"/>
            <w:r w:rsidRPr="007E2E0E">
              <w:rPr>
                <w:rFonts w:ascii="Adobe Garamond Pro" w:hAnsi="Adobe Garamond Pro"/>
                <w:color w:val="221E1F"/>
                <w:sz w:val="22"/>
                <w:szCs w:val="22"/>
              </w:rPr>
              <w:t>postlicense</w:t>
            </w:r>
            <w:proofErr w:type="spellEnd"/>
            <w:r w:rsidRPr="007E2E0E">
              <w:rPr>
                <w:rFonts w:ascii="Adobe Garamond Pro" w:hAnsi="Adobe Garamond Pro"/>
                <w:color w:val="221E1F"/>
                <w:sz w:val="22"/>
                <w:szCs w:val="22"/>
              </w:rPr>
              <w:t xml:space="preserve"> education have no authority to bind the sponsoring broker</w:t>
            </w:r>
          </w:p>
        </w:tc>
        <w:tc>
          <w:tcPr>
            <w:tcW w:w="3869"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The designated managing broker has the responsibility for handling all earnest money, escrows, and contract negotiations for all transactions where the designated agent for the transaction has not completed the 45</w:t>
            </w:r>
            <w:r>
              <w:rPr>
                <w:rFonts w:ascii="Adobe Garamond Pro" w:hAnsi="Adobe Garamond Pro"/>
                <w:color w:val="221E1F"/>
                <w:sz w:val="22"/>
                <w:szCs w:val="22"/>
              </w:rPr>
              <w:t xml:space="preserve"> hours of </w:t>
            </w:r>
            <w:proofErr w:type="spellStart"/>
            <w:r>
              <w:rPr>
                <w:rFonts w:ascii="Adobe Garamond Pro" w:hAnsi="Adobe Garamond Pro"/>
                <w:color w:val="221E1F"/>
                <w:sz w:val="22"/>
                <w:szCs w:val="22"/>
              </w:rPr>
              <w:t>postlicense</w:t>
            </w:r>
            <w:proofErr w:type="spellEnd"/>
            <w:r>
              <w:rPr>
                <w:rFonts w:ascii="Adobe Garamond Pro" w:hAnsi="Adobe Garamond Pro"/>
                <w:color w:val="221E1F"/>
                <w:sz w:val="22"/>
                <w:szCs w:val="22"/>
              </w:rPr>
              <w:t xml:space="preserve"> education. This includes </w:t>
            </w:r>
            <w:r w:rsidRPr="007E2E0E">
              <w:rPr>
                <w:rFonts w:ascii="Adobe Garamond Pro" w:hAnsi="Adobe Garamond Pro"/>
                <w:color w:val="221E1F"/>
                <w:sz w:val="22"/>
                <w:szCs w:val="22"/>
              </w:rPr>
              <w:t xml:space="preserve">the approval of all advertisements involving a licensee who has not completed the 45 hours of </w:t>
            </w:r>
            <w:proofErr w:type="spellStart"/>
            <w:r w:rsidRPr="007E2E0E">
              <w:rPr>
                <w:rFonts w:ascii="Adobe Garamond Pro" w:hAnsi="Adobe Garamond Pro"/>
                <w:color w:val="221E1F"/>
                <w:sz w:val="22"/>
                <w:szCs w:val="22"/>
              </w:rPr>
              <w:t>postlicense</w:t>
            </w:r>
            <w:proofErr w:type="spellEnd"/>
            <w:r w:rsidRPr="007E2E0E">
              <w:rPr>
                <w:rFonts w:ascii="Adobe Garamond Pro" w:hAnsi="Adobe Garamond Pro"/>
                <w:color w:val="221E1F"/>
                <w:sz w:val="22"/>
                <w:szCs w:val="22"/>
              </w:rPr>
              <w:t xml:space="preserve"> education. Licensees </w:t>
            </w:r>
            <w:r>
              <w:rPr>
                <w:rFonts w:ascii="Adobe Garamond Pro" w:hAnsi="Adobe Garamond Pro"/>
                <w:color w:val="221E1F"/>
                <w:sz w:val="22"/>
                <w:szCs w:val="22"/>
              </w:rPr>
              <w:t>who</w:t>
            </w:r>
            <w:r w:rsidRPr="007E2E0E">
              <w:rPr>
                <w:rFonts w:ascii="Adobe Garamond Pro" w:hAnsi="Adobe Garamond Pro"/>
                <w:color w:val="221E1F"/>
                <w:sz w:val="22"/>
                <w:szCs w:val="22"/>
              </w:rPr>
              <w:t xml:space="preserve"> have not completed their 45 hours of </w:t>
            </w:r>
            <w:proofErr w:type="spellStart"/>
            <w:r w:rsidRPr="007E2E0E">
              <w:rPr>
                <w:rFonts w:ascii="Adobe Garamond Pro" w:hAnsi="Adobe Garamond Pro"/>
                <w:color w:val="221E1F"/>
                <w:sz w:val="22"/>
                <w:szCs w:val="22"/>
              </w:rPr>
              <w:t>postlicense</w:t>
            </w:r>
            <w:proofErr w:type="spellEnd"/>
            <w:r w:rsidRPr="007E2E0E">
              <w:rPr>
                <w:rFonts w:ascii="Adobe Garamond Pro" w:hAnsi="Adobe Garamond Pro"/>
                <w:color w:val="221E1F"/>
                <w:sz w:val="22"/>
                <w:szCs w:val="22"/>
              </w:rPr>
              <w:t xml:space="preserve"> education </w:t>
            </w:r>
            <w:r>
              <w:rPr>
                <w:rFonts w:ascii="Adobe Garamond Pro" w:hAnsi="Adobe Garamond Pro"/>
                <w:color w:val="221E1F"/>
                <w:sz w:val="22"/>
                <w:szCs w:val="22"/>
              </w:rPr>
              <w:t>cannot bind the sponsoring broker to contracts.</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68, Maintenance of Licenses</w:t>
            </w:r>
          </w:p>
        </w:tc>
        <w:tc>
          <w:tcPr>
            <w:tcW w:w="3600" w:type="dxa"/>
          </w:tcPr>
          <w:p w:rsidR="007E2E0E" w:rsidRDefault="007E2E0E" w:rsidP="007E2E0E">
            <w:pPr>
              <w:tabs>
                <w:tab w:val="left" w:pos="1800"/>
              </w:tabs>
              <w:autoSpaceDE w:val="0"/>
              <w:autoSpaceDN w:val="0"/>
              <w:adjustRightInd w:val="0"/>
              <w:rPr>
                <w:rFonts w:ascii="Times New Roman" w:hAnsi="Times New Roman"/>
              </w:rPr>
            </w:pPr>
            <w:r>
              <w:rPr>
                <w:rFonts w:ascii="Adobe Garamond Pro" w:hAnsi="Adobe Garamond Pro"/>
                <w:color w:val="221E1F"/>
                <w:sz w:val="22"/>
                <w:szCs w:val="22"/>
              </w:rPr>
              <w:t>…</w:t>
            </w:r>
            <w:r w:rsidRPr="007E2E0E">
              <w:rPr>
                <w:rFonts w:ascii="Adobe Garamond Pro" w:hAnsi="Adobe Garamond Pro"/>
                <w:color w:val="221E1F"/>
                <w:sz w:val="22"/>
                <w:szCs w:val="22"/>
              </w:rPr>
              <w:t>all designated managing brokers employed by the sponsoring broker and the office or branch offices for which each managing broker is responsible. The managing broker must have a current active managing broker’s license.</w:t>
            </w:r>
          </w:p>
        </w:tc>
        <w:tc>
          <w:tcPr>
            <w:tcW w:w="3869" w:type="dxa"/>
          </w:tcPr>
          <w:p w:rsidR="007E2E0E" w:rsidRPr="007E2E0E" w:rsidRDefault="007E2E0E" w:rsidP="007E2E0E">
            <w:pPr>
              <w:pStyle w:val="Default"/>
              <w:rPr>
                <w:rFonts w:ascii="Adobe Garamond Pro" w:hAnsi="Adobe Garamond Pro" w:cs="Adobe Garamond Pro"/>
              </w:rPr>
            </w:pPr>
            <w:r>
              <w:rPr>
                <w:rFonts w:ascii="Times New Roman" w:hAnsi="Times New Roman"/>
              </w:rPr>
              <w:t>…</w:t>
            </w:r>
            <w:r w:rsidRPr="007E2E0E">
              <w:rPr>
                <w:rFonts w:ascii="Adobe Garamond Pro" w:hAnsi="Adobe Garamond Pro"/>
                <w:color w:val="221E1F"/>
                <w:sz w:val="22"/>
                <w:szCs w:val="22"/>
              </w:rPr>
              <w:t xml:space="preserve">all designated managing brokers employed by the sponsoring broker and the office or branch offices for which each </w:t>
            </w:r>
            <w:r>
              <w:rPr>
                <w:rFonts w:ascii="Adobe Garamond Pro" w:hAnsi="Adobe Garamond Pro"/>
                <w:color w:val="221E1F"/>
                <w:sz w:val="22"/>
                <w:szCs w:val="22"/>
              </w:rPr>
              <w:t xml:space="preserve">designated </w:t>
            </w:r>
            <w:r w:rsidRPr="007E2E0E">
              <w:rPr>
                <w:rFonts w:ascii="Adobe Garamond Pro" w:hAnsi="Adobe Garamond Pro"/>
                <w:color w:val="221E1F"/>
                <w:sz w:val="22"/>
                <w:szCs w:val="22"/>
              </w:rPr>
              <w:t xml:space="preserve">managing broker is responsible. The </w:t>
            </w:r>
            <w:r>
              <w:rPr>
                <w:rFonts w:ascii="Adobe Garamond Pro" w:hAnsi="Adobe Garamond Pro"/>
                <w:color w:val="221E1F"/>
                <w:sz w:val="22"/>
                <w:szCs w:val="22"/>
              </w:rPr>
              <w:t xml:space="preserve">designated </w:t>
            </w:r>
            <w:r w:rsidRPr="007E2E0E">
              <w:rPr>
                <w:rFonts w:ascii="Adobe Garamond Pro" w:hAnsi="Adobe Garamond Pro"/>
                <w:color w:val="221E1F"/>
                <w:sz w:val="22"/>
                <w:szCs w:val="22"/>
              </w:rPr>
              <w:t>managing broker must have a current active managing broker’s license.</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68, Unexpected Loss of Designated Managing Broker</w:t>
            </w:r>
          </w:p>
        </w:tc>
        <w:tc>
          <w:tcPr>
            <w:tcW w:w="3600"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In most cases of loss of a sponsoring or managing broker, a licensed managing broker temporarily assumes the management of the office</w:t>
            </w:r>
            <w:r>
              <w:rPr>
                <w:rFonts w:ascii="Adobe Garamond Pro" w:hAnsi="Adobe Garamond Pro"/>
                <w:color w:val="221E1F"/>
                <w:sz w:val="22"/>
                <w:szCs w:val="22"/>
              </w:rPr>
              <w:t>.</w:t>
            </w:r>
          </w:p>
        </w:tc>
        <w:tc>
          <w:tcPr>
            <w:tcW w:w="3869"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In most cases of loss of a sponsoring or </w:t>
            </w:r>
            <w:r>
              <w:rPr>
                <w:rFonts w:ascii="Adobe Garamond Pro" w:hAnsi="Adobe Garamond Pro"/>
                <w:color w:val="221E1F"/>
                <w:sz w:val="22"/>
                <w:szCs w:val="22"/>
              </w:rPr>
              <w:t xml:space="preserve">designated </w:t>
            </w:r>
            <w:r w:rsidRPr="007E2E0E">
              <w:rPr>
                <w:rFonts w:ascii="Adobe Garamond Pro" w:hAnsi="Adobe Garamond Pro"/>
                <w:color w:val="221E1F"/>
                <w:sz w:val="22"/>
                <w:szCs w:val="22"/>
              </w:rPr>
              <w:t>managing broker, a licensed managing broker temporarily assumes the management of the office</w:t>
            </w:r>
            <w:r>
              <w:rPr>
                <w:rFonts w:ascii="Adobe Garamond Pro" w:hAnsi="Adobe Garamond Pro"/>
                <w:color w:val="221E1F"/>
                <w:sz w:val="22"/>
                <w:szCs w:val="22"/>
              </w:rPr>
              <w:t>.</w:t>
            </w:r>
          </w:p>
        </w:tc>
      </w:tr>
      <w:tr w:rsidR="007E2E0E" w:rsidRPr="00B261C9" w:rsidTr="00F533CB">
        <w:trPr>
          <w:trHeight w:val="150"/>
          <w:jc w:val="center"/>
        </w:trPr>
        <w:tc>
          <w:tcPr>
            <w:tcW w:w="2609" w:type="dxa"/>
          </w:tcPr>
          <w:p w:rsidR="007E2E0E" w:rsidRDefault="007E2E0E" w:rsidP="007E2E0E">
            <w:pPr>
              <w:tabs>
                <w:tab w:val="left" w:pos="1800"/>
              </w:tabs>
              <w:autoSpaceDE w:val="0"/>
              <w:autoSpaceDN w:val="0"/>
              <w:adjustRightInd w:val="0"/>
              <w:rPr>
                <w:rFonts w:ascii="Times New Roman" w:hAnsi="Times New Roman"/>
              </w:rPr>
            </w:pPr>
            <w:r>
              <w:rPr>
                <w:rFonts w:ascii="Times New Roman" w:hAnsi="Times New Roman"/>
              </w:rPr>
              <w:t>p. 69, New Licenses and Renewals</w:t>
            </w:r>
          </w:p>
        </w:tc>
        <w:tc>
          <w:tcPr>
            <w:tcW w:w="3600"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Though the initial license and renewal used to be mailed to the sponsoring/managing broker, </w:t>
            </w:r>
            <w:proofErr w:type="spellStart"/>
            <w:r w:rsidRPr="007E2E0E">
              <w:rPr>
                <w:rFonts w:ascii="Adobe Garamond Pro" w:hAnsi="Adobe Garamond Pro"/>
                <w:color w:val="221E1F"/>
                <w:sz w:val="22"/>
                <w:szCs w:val="22"/>
              </w:rPr>
              <w:t>IDFPR</w:t>
            </w:r>
            <w:proofErr w:type="spellEnd"/>
            <w:r w:rsidRPr="007E2E0E">
              <w:rPr>
                <w:rFonts w:ascii="Adobe Garamond Pro" w:hAnsi="Adobe Garamond Pro"/>
                <w:color w:val="221E1F"/>
                <w:sz w:val="22"/>
                <w:szCs w:val="22"/>
              </w:rPr>
              <w:t xml:space="preserve"> now generates the license online where the licensee can print their own license and deliver it to the office where it will be held.</w:t>
            </w:r>
          </w:p>
        </w:tc>
        <w:tc>
          <w:tcPr>
            <w:tcW w:w="3869" w:type="dxa"/>
          </w:tcPr>
          <w:p w:rsidR="007E2E0E" w:rsidRDefault="007E2E0E" w:rsidP="007E2E0E">
            <w:pPr>
              <w:tabs>
                <w:tab w:val="left" w:pos="1800"/>
              </w:tabs>
              <w:autoSpaceDE w:val="0"/>
              <w:autoSpaceDN w:val="0"/>
              <w:adjustRightInd w:val="0"/>
              <w:rPr>
                <w:rFonts w:ascii="Times New Roman" w:hAnsi="Times New Roman"/>
              </w:rPr>
            </w:pPr>
            <w:r w:rsidRPr="007E2E0E">
              <w:rPr>
                <w:rFonts w:ascii="Adobe Garamond Pro" w:hAnsi="Adobe Garamond Pro"/>
                <w:color w:val="221E1F"/>
                <w:sz w:val="22"/>
                <w:szCs w:val="22"/>
              </w:rPr>
              <w:t xml:space="preserve">Though the initial license and renewal used to be mailed to the sponsoring/managing broker, </w:t>
            </w:r>
            <w:proofErr w:type="spellStart"/>
            <w:r w:rsidRPr="007E2E0E">
              <w:rPr>
                <w:rFonts w:ascii="Adobe Garamond Pro" w:hAnsi="Adobe Garamond Pro"/>
                <w:color w:val="221E1F"/>
                <w:sz w:val="22"/>
                <w:szCs w:val="22"/>
              </w:rPr>
              <w:t>IDFPR</w:t>
            </w:r>
            <w:proofErr w:type="spellEnd"/>
            <w:r w:rsidRPr="007E2E0E">
              <w:rPr>
                <w:rFonts w:ascii="Adobe Garamond Pro" w:hAnsi="Adobe Garamond Pro"/>
                <w:color w:val="221E1F"/>
                <w:sz w:val="22"/>
                <w:szCs w:val="22"/>
              </w:rPr>
              <w:t xml:space="preserve"> now generates the l</w:t>
            </w:r>
            <w:r>
              <w:rPr>
                <w:rFonts w:ascii="Adobe Garamond Pro" w:hAnsi="Adobe Garamond Pro"/>
                <w:color w:val="221E1F"/>
                <w:sz w:val="22"/>
                <w:szCs w:val="22"/>
              </w:rPr>
              <w:t>icense online. Licensees</w:t>
            </w:r>
            <w:r w:rsidRPr="007E2E0E">
              <w:rPr>
                <w:rFonts w:ascii="Adobe Garamond Pro" w:hAnsi="Adobe Garamond Pro"/>
                <w:color w:val="221E1F"/>
                <w:sz w:val="22"/>
                <w:szCs w:val="22"/>
              </w:rPr>
              <w:t xml:space="preserve"> can print their own license and deliver it to the office where it will be held.</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69, Supervision</w:t>
            </w:r>
          </w:p>
        </w:tc>
        <w:tc>
          <w:tcPr>
            <w:tcW w:w="3600" w:type="dxa"/>
          </w:tcPr>
          <w:p w:rsidR="00F533CB" w:rsidRPr="00F533CB" w:rsidRDefault="00F533CB" w:rsidP="00F533CB">
            <w:pPr>
              <w:pStyle w:val="Default"/>
              <w:rPr>
                <w:rFonts w:ascii="Adobe Garamond Pro" w:hAnsi="Adobe Garamond Pro" w:cs="Adobe Garamond Pro"/>
              </w:rPr>
            </w:pPr>
            <w:r>
              <w:rPr>
                <w:rFonts w:ascii="Times New Roman" w:hAnsi="Times New Roman"/>
              </w:rPr>
              <w:t>…</w:t>
            </w:r>
            <w:r w:rsidRPr="00F533CB">
              <w:rPr>
                <w:rFonts w:ascii="Adobe Garamond Pro" w:hAnsi="Adobe Garamond Pro"/>
                <w:color w:val="221E1F"/>
                <w:sz w:val="22"/>
                <w:szCs w:val="22"/>
              </w:rPr>
              <w:t>and anyone else working in those offices managed by the managing broker</w:t>
            </w:r>
            <w:r>
              <w:rPr>
                <w:rFonts w:ascii="Adobe Garamond Pro" w:hAnsi="Adobe Garamond Pro"/>
                <w:color w:val="221E1F"/>
                <w:sz w:val="22"/>
                <w:szCs w:val="22"/>
              </w:rPr>
              <w:t>.</w:t>
            </w:r>
          </w:p>
        </w:tc>
        <w:tc>
          <w:tcPr>
            <w:tcW w:w="3869" w:type="dxa"/>
          </w:tcPr>
          <w:p w:rsidR="00F533CB" w:rsidRPr="00F533CB" w:rsidRDefault="00F533CB" w:rsidP="00F533CB">
            <w:pPr>
              <w:pStyle w:val="Default"/>
              <w:rPr>
                <w:rFonts w:ascii="Adobe Garamond Pro" w:hAnsi="Adobe Garamond Pro" w:cs="Adobe Garamond Pro"/>
              </w:rPr>
            </w:pPr>
            <w:r>
              <w:rPr>
                <w:rFonts w:ascii="Times New Roman" w:hAnsi="Times New Roman"/>
              </w:rPr>
              <w:t>…</w:t>
            </w:r>
            <w:r w:rsidRPr="00F533CB">
              <w:rPr>
                <w:rFonts w:ascii="Adobe Garamond Pro" w:hAnsi="Adobe Garamond Pro"/>
                <w:color w:val="221E1F"/>
                <w:sz w:val="22"/>
                <w:szCs w:val="22"/>
              </w:rPr>
              <w:t xml:space="preserve">and anyone else working in those offices managed by the </w:t>
            </w:r>
            <w:r>
              <w:rPr>
                <w:rFonts w:ascii="Adobe Garamond Pro" w:hAnsi="Adobe Garamond Pro"/>
                <w:color w:val="221E1F"/>
                <w:sz w:val="22"/>
                <w:szCs w:val="22"/>
              </w:rPr>
              <w:t xml:space="preserve">designated </w:t>
            </w:r>
            <w:r w:rsidRPr="00F533CB">
              <w:rPr>
                <w:rFonts w:ascii="Adobe Garamond Pro" w:hAnsi="Adobe Garamond Pro"/>
                <w:color w:val="221E1F"/>
                <w:sz w:val="22"/>
                <w:szCs w:val="22"/>
              </w:rPr>
              <w:t>managing broker</w:t>
            </w:r>
            <w:r>
              <w:rPr>
                <w:rFonts w:ascii="Adobe Garamond Pro" w:hAnsi="Adobe Garamond Pro"/>
                <w:color w:val="221E1F"/>
                <w:sz w:val="22"/>
                <w:szCs w:val="22"/>
              </w:rPr>
              <w:t>.</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93, 2</w:t>
            </w:r>
            <w:r w:rsidRPr="00F533CB">
              <w:rPr>
                <w:rFonts w:ascii="Times New Roman" w:hAnsi="Times New Roman"/>
                <w:vertAlign w:val="superscript"/>
              </w:rPr>
              <w:t>nd</w:t>
            </w:r>
            <w:r>
              <w:rPr>
                <w:rFonts w:ascii="Times New Roman" w:hAnsi="Times New Roman"/>
              </w:rPr>
              <w:t xml:space="preserve"> paragraph</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93, 3</w:t>
            </w:r>
            <w:r w:rsidRPr="00F533CB">
              <w:rPr>
                <w:rFonts w:ascii="Times New Roman" w:hAnsi="Times New Roman"/>
                <w:vertAlign w:val="superscript"/>
              </w:rPr>
              <w:t>rd</w:t>
            </w:r>
            <w:r>
              <w:rPr>
                <w:rFonts w:ascii="Times New Roman" w:hAnsi="Times New Roman"/>
              </w:rPr>
              <w:t xml:space="preserve"> paragraph</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MOVED TO TOP OF PAGE</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93, 4</w:t>
            </w:r>
            <w:r w:rsidRPr="00F533CB">
              <w:rPr>
                <w:rFonts w:ascii="Times New Roman" w:hAnsi="Times New Roman"/>
                <w:vertAlign w:val="superscript"/>
              </w:rPr>
              <w:t>th</w:t>
            </w:r>
            <w:r>
              <w:rPr>
                <w:rFonts w:ascii="Times New Roman" w:hAnsi="Times New Roman"/>
              </w:rPr>
              <w:t xml:space="preserve"> paragraph, sentences 1-4</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93, 4</w:t>
            </w:r>
            <w:r w:rsidRPr="00F533CB">
              <w:rPr>
                <w:rFonts w:ascii="Times New Roman" w:hAnsi="Times New Roman"/>
                <w:vertAlign w:val="superscript"/>
              </w:rPr>
              <w:t>th</w:t>
            </w:r>
            <w:r>
              <w:rPr>
                <w:rFonts w:ascii="Times New Roman" w:hAnsi="Times New Roman"/>
              </w:rPr>
              <w:t xml:space="preserve"> paragraph</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93, 5</w:t>
            </w:r>
            <w:r w:rsidRPr="00F533CB">
              <w:rPr>
                <w:rFonts w:ascii="Times New Roman" w:hAnsi="Times New Roman"/>
                <w:vertAlign w:val="superscript"/>
              </w:rPr>
              <w:t>th</w:t>
            </w:r>
            <w:r>
              <w:rPr>
                <w:rFonts w:ascii="Times New Roman" w:hAnsi="Times New Roman"/>
              </w:rPr>
              <w:t xml:space="preserve"> and 6</w:t>
            </w:r>
            <w:r w:rsidRPr="00F533CB">
              <w:rPr>
                <w:rFonts w:ascii="Times New Roman" w:hAnsi="Times New Roman"/>
                <w:vertAlign w:val="superscript"/>
              </w:rPr>
              <w:t>th</w:t>
            </w:r>
            <w:r>
              <w:rPr>
                <w:rFonts w:ascii="Times New Roman" w:hAnsi="Times New Roman"/>
              </w:rPr>
              <w:t xml:space="preserve"> paragraphs</w:t>
            </w:r>
          </w:p>
        </w:tc>
        <w:tc>
          <w:tcPr>
            <w:tcW w:w="3600"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REPLACED WITH NEW TEXT</w:t>
            </w:r>
          </w:p>
        </w:tc>
        <w:tc>
          <w:tcPr>
            <w:tcW w:w="3869" w:type="dxa"/>
          </w:tcPr>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Ongoing Communication</w:t>
            </w:r>
          </w:p>
          <w:p w:rsidR="00F533CB" w:rsidRPr="008B18EF" w:rsidRDefault="00F533CB" w:rsidP="00F533CB">
            <w:pPr>
              <w:autoSpaceDE w:val="0"/>
              <w:autoSpaceDN w:val="0"/>
              <w:adjustRightInd w:val="0"/>
              <w:rPr>
                <w:rFonts w:ascii="Adobe Garamond Pro" w:hAnsi="Adobe Garamond Pro"/>
                <w:color w:val="000000"/>
                <w:sz w:val="22"/>
                <w:szCs w:val="22"/>
              </w:rPr>
            </w:pP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 xml:space="preserve">It is good at these initial appointments with either sellers or buyers to set up an agreed mode of communication. </w:t>
            </w:r>
            <w:r w:rsidRPr="008B18EF">
              <w:rPr>
                <w:rFonts w:ascii="Adobe Garamond Pro" w:hAnsi="Adobe Garamond Pro"/>
                <w:color w:val="000000"/>
                <w:sz w:val="22"/>
                <w:szCs w:val="22"/>
              </w:rPr>
              <w:lastRenderedPageBreak/>
              <w:t>Licensees, especially new ones, should keep in mind that success in the real estate business depends on good customer relations and interpersonal skills, including communication. It is imperative to communicate with clients throughout the entire real estate transaction, as well as afterward.</w:t>
            </w:r>
          </w:p>
          <w:p w:rsidR="00F533CB" w:rsidRPr="008B18EF" w:rsidRDefault="00F533CB" w:rsidP="00F533CB">
            <w:pPr>
              <w:autoSpaceDE w:val="0"/>
              <w:autoSpaceDN w:val="0"/>
              <w:adjustRightInd w:val="0"/>
              <w:rPr>
                <w:rFonts w:ascii="Adobe Garamond Pro" w:hAnsi="Adobe Garamond Pro"/>
                <w:color w:val="000000"/>
                <w:sz w:val="22"/>
                <w:szCs w:val="22"/>
              </w:rPr>
            </w:pP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 xml:space="preserve">Not everyone likes to communicate in the same fashion. Whether it be by text, email, or phone, recordkeeping is an important part of making sure your client’s wishes are met and that your liability is protected. Here are some tips to keep in mind regarding communication: </w:t>
            </w: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After oral conversations, make notes with dates and times</w:t>
            </w: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Save texts and emails</w:t>
            </w: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Follow laws and regulations regarding electronic communication</w:t>
            </w:r>
          </w:p>
          <w:p w:rsidR="00F533CB" w:rsidRPr="008B18EF" w:rsidRDefault="00F533CB" w:rsidP="00F533CB">
            <w:pPr>
              <w:autoSpaceDE w:val="0"/>
              <w:autoSpaceDN w:val="0"/>
              <w:adjustRightInd w:val="0"/>
              <w:rPr>
                <w:rFonts w:ascii="Adobe Garamond Pro" w:hAnsi="Adobe Garamond Pro"/>
                <w:color w:val="000000"/>
                <w:sz w:val="22"/>
                <w:szCs w:val="22"/>
              </w:rPr>
            </w:pPr>
          </w:p>
          <w:p w:rsidR="00F533CB" w:rsidRPr="008B18EF" w:rsidRDefault="00F533CB" w:rsidP="00F533CB">
            <w:pPr>
              <w:autoSpaceDE w:val="0"/>
              <w:autoSpaceDN w:val="0"/>
              <w:adjustRightInd w:val="0"/>
              <w:rPr>
                <w:rFonts w:ascii="Adobe Garamond Pro" w:hAnsi="Adobe Garamond Pro"/>
                <w:color w:val="000000"/>
                <w:sz w:val="22"/>
                <w:szCs w:val="22"/>
              </w:rPr>
            </w:pPr>
            <w:r w:rsidRPr="008B18EF">
              <w:rPr>
                <w:rFonts w:ascii="Adobe Garamond Pro" w:hAnsi="Adobe Garamond Pro"/>
                <w:color w:val="000000"/>
                <w:sz w:val="22"/>
                <w:szCs w:val="22"/>
              </w:rPr>
              <w:t>Remember that though social media may be a convenient way of conversing with customers and clients, it can lack privacy and confidentiality. Another drawback is that social media can be challenging to log for recordkeeping. A real estate professional can establish a presence on social media, but should always be mindful that information available to the public imposes a level of restraint on comments and photos posted to avoid embarrassment or even potential liability.</w:t>
            </w:r>
          </w:p>
          <w:p w:rsidR="00F533CB" w:rsidRPr="008B18EF" w:rsidRDefault="00F533CB" w:rsidP="00F533CB">
            <w:pPr>
              <w:autoSpaceDE w:val="0"/>
              <w:autoSpaceDN w:val="0"/>
              <w:adjustRightInd w:val="0"/>
              <w:rPr>
                <w:rFonts w:ascii="Adobe Garamond Pro" w:hAnsi="Adobe Garamond Pro"/>
                <w:color w:val="000000"/>
                <w:sz w:val="22"/>
                <w:szCs w:val="22"/>
              </w:rPr>
            </w:pPr>
          </w:p>
          <w:p w:rsidR="00F533CB" w:rsidRPr="008B18EF" w:rsidRDefault="00F533CB" w:rsidP="00F533CB">
            <w:pPr>
              <w:autoSpaceDE w:val="0"/>
              <w:autoSpaceDN w:val="0"/>
              <w:adjustRightInd w:val="0"/>
              <w:rPr>
                <w:rFonts w:ascii="Adobe Garamond Pro" w:hAnsi="Adobe Garamond Pro"/>
                <w:sz w:val="22"/>
                <w:szCs w:val="22"/>
              </w:rPr>
            </w:pPr>
            <w:r w:rsidRPr="008B18EF">
              <w:rPr>
                <w:rFonts w:ascii="Adobe Garamond Pro" w:hAnsi="Adobe Garamond Pro"/>
                <w:color w:val="000000"/>
                <w:sz w:val="22"/>
                <w:szCs w:val="22"/>
              </w:rPr>
              <w:t>Ongoing communication, no matter the format, can help build and maintain a relationship with clients who may then provide repeat business or referrals.</w:t>
            </w:r>
          </w:p>
          <w:p w:rsidR="00F533CB" w:rsidRPr="008B18EF" w:rsidRDefault="00F533CB" w:rsidP="00F533CB">
            <w:pPr>
              <w:tabs>
                <w:tab w:val="left" w:pos="1800"/>
              </w:tabs>
              <w:autoSpaceDE w:val="0"/>
              <w:autoSpaceDN w:val="0"/>
              <w:adjustRightInd w:val="0"/>
              <w:rPr>
                <w:rFonts w:ascii="Adobe Garamond Pro" w:hAnsi="Adobe Garamond Pro"/>
                <w:sz w:val="22"/>
                <w:szCs w:val="22"/>
              </w:rPr>
            </w:pP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lastRenderedPageBreak/>
              <w:t>p. 94, Added margin note</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Pr="008B18EF" w:rsidRDefault="00F533CB"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color w:val="000000"/>
                <w:sz w:val="22"/>
                <w:szCs w:val="22"/>
              </w:rPr>
              <w:t>Licensees should keep in mind the importance of historical and expired sales, and use them as supporting data when the present their CMA to a client or potential client.</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94, Last paragraph, after “techniques”</w:t>
            </w:r>
          </w:p>
        </w:tc>
        <w:tc>
          <w:tcPr>
            <w:tcW w:w="3600"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REPLACED WITH NEW TEXT</w:t>
            </w:r>
          </w:p>
        </w:tc>
        <w:tc>
          <w:tcPr>
            <w:tcW w:w="3869" w:type="dxa"/>
          </w:tcPr>
          <w:p w:rsidR="00F533CB" w:rsidRPr="008B18EF" w:rsidRDefault="00F533CB"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 xml:space="preserve">Data generally falls into two basic categories: 1. General (secondary) data—information about the social, economic, governmental and </w:t>
            </w:r>
            <w:r w:rsidRPr="008B18EF">
              <w:rPr>
                <w:rFonts w:ascii="Adobe Garamond Pro" w:hAnsi="Adobe Garamond Pro"/>
                <w:sz w:val="22"/>
                <w:szCs w:val="22"/>
              </w:rPr>
              <w:lastRenderedPageBreak/>
              <w:t xml:space="preserve">environmental influences on value. This information is typically not collected by the appraiser; and 2. Specific (primary) data—details about the subject, </w:t>
            </w:r>
            <w:proofErr w:type="spellStart"/>
            <w:r w:rsidRPr="008B18EF">
              <w:rPr>
                <w:rFonts w:ascii="Adobe Garamond Pro" w:hAnsi="Adobe Garamond Pro"/>
                <w:sz w:val="22"/>
                <w:szCs w:val="22"/>
              </w:rPr>
              <w:t>comparables</w:t>
            </w:r>
            <w:proofErr w:type="spellEnd"/>
            <w:r w:rsidRPr="008B18EF">
              <w:rPr>
                <w:rFonts w:ascii="Adobe Garamond Pro" w:hAnsi="Adobe Garamond Pro"/>
                <w:sz w:val="22"/>
                <w:szCs w:val="22"/>
              </w:rPr>
              <w:t>, and local market conditions. This information is collected by the appraiser.</w:t>
            </w:r>
          </w:p>
          <w:p w:rsidR="00F533CB" w:rsidRPr="008B18EF" w:rsidRDefault="00F533CB" w:rsidP="00F533CB">
            <w:pPr>
              <w:tabs>
                <w:tab w:val="left" w:pos="1800"/>
              </w:tabs>
              <w:autoSpaceDE w:val="0"/>
              <w:autoSpaceDN w:val="0"/>
              <w:adjustRightInd w:val="0"/>
              <w:rPr>
                <w:rFonts w:ascii="Adobe Garamond Pro" w:hAnsi="Adobe Garamond Pro"/>
                <w:sz w:val="22"/>
                <w:szCs w:val="22"/>
              </w:rPr>
            </w:pPr>
          </w:p>
          <w:p w:rsidR="00F533CB" w:rsidRPr="008B18EF" w:rsidRDefault="00F533CB"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Data can also be viewed as qualitative versus quantitative. Qualitative data describes things like amenities, style, or location that cannot be expressed with a numerical value. Quantitative data includes information that can be expressed as a numerical value, such as square feet, room count, marketing time, or lot size.</w:t>
            </w:r>
          </w:p>
          <w:p w:rsidR="00F533CB" w:rsidRPr="008B18EF" w:rsidRDefault="00F533CB" w:rsidP="00F533CB">
            <w:pPr>
              <w:tabs>
                <w:tab w:val="left" w:pos="1800"/>
              </w:tabs>
              <w:autoSpaceDE w:val="0"/>
              <w:autoSpaceDN w:val="0"/>
              <w:adjustRightInd w:val="0"/>
              <w:rPr>
                <w:rFonts w:ascii="Adobe Garamond Pro" w:hAnsi="Adobe Garamond Pro"/>
                <w:sz w:val="22"/>
                <w:szCs w:val="22"/>
              </w:rPr>
            </w:pPr>
          </w:p>
          <w:p w:rsidR="00F533CB" w:rsidRPr="008B18EF" w:rsidRDefault="00F533CB"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When presenting information and statistics to clients or consumers, keep it simple and be prepared to back up a CMA or price opinion with supporting details.</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lastRenderedPageBreak/>
              <w:t>p. 103, Description of the Premises</w:t>
            </w:r>
          </w:p>
        </w:tc>
        <w:tc>
          <w:tcPr>
            <w:tcW w:w="3600" w:type="dxa"/>
          </w:tcPr>
          <w:p w:rsidR="00F533CB" w:rsidRDefault="00F533CB" w:rsidP="00F533CB">
            <w:pPr>
              <w:tabs>
                <w:tab w:val="left" w:pos="1800"/>
              </w:tabs>
              <w:autoSpaceDE w:val="0"/>
              <w:autoSpaceDN w:val="0"/>
              <w:adjustRightInd w:val="0"/>
              <w:rPr>
                <w:rFonts w:ascii="Times New Roman" w:hAnsi="Times New Roman"/>
              </w:rPr>
            </w:pPr>
            <w:r w:rsidRPr="00F533CB">
              <w:rPr>
                <w:rFonts w:ascii="Adobe Garamond Pro" w:hAnsi="Adobe Garamond Pro"/>
                <w:color w:val="221E1F"/>
                <w:sz w:val="22"/>
                <w:szCs w:val="22"/>
              </w:rPr>
              <w:t>However, it is advisable to include the parcel number or Property Index Number (PIN), and most listing agreements include a blank for it. This number can be acquired from the tax database.</w:t>
            </w:r>
          </w:p>
        </w:tc>
        <w:tc>
          <w:tcPr>
            <w:tcW w:w="3869" w:type="dxa"/>
          </w:tcPr>
          <w:p w:rsidR="00F533CB" w:rsidRDefault="00F533CB" w:rsidP="00F533CB">
            <w:pPr>
              <w:tabs>
                <w:tab w:val="left" w:pos="1800"/>
              </w:tabs>
              <w:autoSpaceDE w:val="0"/>
              <w:autoSpaceDN w:val="0"/>
              <w:adjustRightInd w:val="0"/>
              <w:rPr>
                <w:rFonts w:ascii="Times New Roman" w:hAnsi="Times New Roman"/>
              </w:rPr>
            </w:pPr>
            <w:r w:rsidRPr="00F533CB">
              <w:rPr>
                <w:rFonts w:ascii="Adobe Garamond Pro" w:hAnsi="Adobe Garamond Pro"/>
                <w:color w:val="221E1F"/>
                <w:sz w:val="22"/>
                <w:szCs w:val="22"/>
              </w:rPr>
              <w:t xml:space="preserve">However, it is advisable to include the parcel number or Property Index Number (PIN), and most listing agreements include a blank for it. This number can be acquired from the </w:t>
            </w:r>
            <w:r>
              <w:rPr>
                <w:rFonts w:ascii="Adobe Garamond Pro" w:hAnsi="Adobe Garamond Pro"/>
                <w:color w:val="221E1F"/>
                <w:sz w:val="22"/>
                <w:szCs w:val="22"/>
              </w:rPr>
              <w:t xml:space="preserve">county </w:t>
            </w:r>
            <w:r w:rsidRPr="00F533CB">
              <w:rPr>
                <w:rFonts w:ascii="Adobe Garamond Pro" w:hAnsi="Adobe Garamond Pro"/>
                <w:color w:val="221E1F"/>
                <w:sz w:val="22"/>
                <w:szCs w:val="22"/>
              </w:rPr>
              <w:t>tax database.</w:t>
            </w:r>
          </w:p>
        </w:tc>
      </w:tr>
      <w:tr w:rsidR="00270A20" w:rsidRPr="00B261C9" w:rsidTr="00F533CB">
        <w:trPr>
          <w:trHeight w:val="150"/>
          <w:jc w:val="center"/>
        </w:trPr>
        <w:tc>
          <w:tcPr>
            <w:tcW w:w="2609" w:type="dxa"/>
          </w:tcPr>
          <w:p w:rsidR="00270A20" w:rsidRDefault="00270A20" w:rsidP="00F533CB">
            <w:pPr>
              <w:tabs>
                <w:tab w:val="left" w:pos="1800"/>
              </w:tabs>
              <w:autoSpaceDE w:val="0"/>
              <w:autoSpaceDN w:val="0"/>
              <w:adjustRightInd w:val="0"/>
              <w:rPr>
                <w:rFonts w:ascii="Times New Roman" w:hAnsi="Times New Roman"/>
              </w:rPr>
            </w:pPr>
            <w:r>
              <w:rPr>
                <w:rFonts w:ascii="Times New Roman" w:hAnsi="Times New Roman"/>
              </w:rPr>
              <w:t>p. 152, before Summary</w:t>
            </w:r>
          </w:p>
        </w:tc>
        <w:tc>
          <w:tcPr>
            <w:tcW w:w="3600" w:type="dxa"/>
          </w:tcPr>
          <w:p w:rsidR="00270A20" w:rsidRDefault="00270A20" w:rsidP="00F533CB">
            <w:pPr>
              <w:tabs>
                <w:tab w:val="left" w:pos="1800"/>
              </w:tabs>
              <w:autoSpaceDE w:val="0"/>
              <w:autoSpaceDN w:val="0"/>
              <w:adjustRightInd w:val="0"/>
              <w:rPr>
                <w:rFonts w:ascii="Times New Roman" w:hAnsi="Times New Roman"/>
              </w:rPr>
            </w:pPr>
            <w:r>
              <w:rPr>
                <w:rFonts w:ascii="Times New Roman" w:hAnsi="Times New Roman"/>
              </w:rPr>
              <w:t>ADDED TEXT</w:t>
            </w:r>
          </w:p>
        </w:tc>
        <w:tc>
          <w:tcPr>
            <w:tcW w:w="3869" w:type="dxa"/>
          </w:tcPr>
          <w:p w:rsidR="00270A20" w:rsidRPr="00270A20" w:rsidRDefault="00270A20" w:rsidP="00270A20">
            <w:pPr>
              <w:tabs>
                <w:tab w:val="left" w:pos="1800"/>
              </w:tabs>
              <w:autoSpaceDE w:val="0"/>
              <w:autoSpaceDN w:val="0"/>
              <w:adjustRightInd w:val="0"/>
              <w:rPr>
                <w:rFonts w:ascii="Adobe Garamond Pro" w:hAnsi="Adobe Garamond Pro"/>
                <w:sz w:val="22"/>
                <w:szCs w:val="22"/>
              </w:rPr>
            </w:pPr>
            <w:r w:rsidRPr="00270A20">
              <w:rPr>
                <w:rFonts w:ascii="Adobe Garamond Pro" w:hAnsi="Adobe Garamond Pro"/>
                <w:sz w:val="22"/>
                <w:szCs w:val="22"/>
              </w:rPr>
              <w:t>In Illinois</w:t>
            </w:r>
          </w:p>
          <w:p w:rsidR="00270A20" w:rsidRPr="008B18EF" w:rsidRDefault="00270A20" w:rsidP="00270A20">
            <w:pPr>
              <w:tabs>
                <w:tab w:val="left" w:pos="1800"/>
              </w:tabs>
              <w:autoSpaceDE w:val="0"/>
              <w:autoSpaceDN w:val="0"/>
              <w:adjustRightInd w:val="0"/>
              <w:rPr>
                <w:rFonts w:ascii="Adobe Garamond Pro" w:hAnsi="Adobe Garamond Pro"/>
                <w:sz w:val="22"/>
                <w:szCs w:val="22"/>
              </w:rPr>
            </w:pPr>
            <w:r w:rsidRPr="00270A20">
              <w:rPr>
                <w:rFonts w:ascii="Adobe Garamond Pro" w:hAnsi="Adobe Garamond Pro"/>
                <w:sz w:val="22"/>
                <w:szCs w:val="22"/>
              </w:rPr>
              <w:t>Timeshare sales in Illinois were previously regulated by the Illinois Real Estate Timeshare Act. This act was repealed in 2018.</w:t>
            </w:r>
          </w:p>
        </w:tc>
      </w:tr>
      <w:tr w:rsidR="00F533CB" w:rsidRPr="00B261C9" w:rsidTr="00F533CB">
        <w:trPr>
          <w:trHeight w:val="150"/>
          <w:jc w:val="center"/>
        </w:trPr>
        <w:tc>
          <w:tcPr>
            <w:tcW w:w="2609" w:type="dxa"/>
          </w:tcPr>
          <w:p w:rsidR="00F533CB" w:rsidRDefault="00F533CB" w:rsidP="00F533CB">
            <w:pPr>
              <w:tabs>
                <w:tab w:val="left" w:pos="1800"/>
              </w:tabs>
              <w:autoSpaceDE w:val="0"/>
              <w:autoSpaceDN w:val="0"/>
              <w:adjustRightInd w:val="0"/>
              <w:rPr>
                <w:rFonts w:ascii="Times New Roman" w:hAnsi="Times New Roman"/>
              </w:rPr>
            </w:pPr>
            <w:r>
              <w:rPr>
                <w:rFonts w:ascii="Times New Roman" w:hAnsi="Times New Roman"/>
              </w:rPr>
              <w:t>p. 194, 2</w:t>
            </w:r>
            <w:r w:rsidRPr="00F533CB">
              <w:rPr>
                <w:rFonts w:ascii="Times New Roman" w:hAnsi="Times New Roman"/>
                <w:vertAlign w:val="superscript"/>
              </w:rPr>
              <w:t>nd</w:t>
            </w:r>
            <w:r>
              <w:rPr>
                <w:rFonts w:ascii="Times New Roman" w:hAnsi="Times New Roman"/>
              </w:rPr>
              <w:t xml:space="preserve"> paragraph</w:t>
            </w:r>
          </w:p>
        </w:tc>
        <w:tc>
          <w:tcPr>
            <w:tcW w:w="3600" w:type="dxa"/>
          </w:tcPr>
          <w:p w:rsidR="00F533CB" w:rsidRDefault="00F533CB" w:rsidP="00F533CB">
            <w:pPr>
              <w:tabs>
                <w:tab w:val="left" w:pos="1800"/>
              </w:tabs>
              <w:autoSpaceDE w:val="0"/>
              <w:autoSpaceDN w:val="0"/>
              <w:adjustRightInd w:val="0"/>
              <w:rPr>
                <w:rFonts w:ascii="Times New Roman" w:hAnsi="Times New Roman"/>
              </w:rPr>
            </w:pPr>
          </w:p>
        </w:tc>
        <w:tc>
          <w:tcPr>
            <w:tcW w:w="3869" w:type="dxa"/>
          </w:tcPr>
          <w:p w:rsidR="00F533CB" w:rsidRPr="008B18EF" w:rsidRDefault="00857219"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Added “Multiple Offers” header and replaced last sentence with this following: The Illinois Real Estate Licensing Act does not have any provisions requiring disclosure of multiple offers. However, the Act does require licensees to act in the best interest of the client. A licensee should have a conversion with a buyer or seller about how they would want to handle a multiple offer situation should one arise. Then, the licensee will act on the instructions of the client in a multiple offer situation because ultimately, decisions about how offers are presented, negotiated, and accepted are made by the buyer or seller, not the licensee.</w:t>
            </w:r>
          </w:p>
        </w:tc>
      </w:tr>
      <w:tr w:rsidR="00857219" w:rsidRPr="00B261C9" w:rsidTr="00F533CB">
        <w:trPr>
          <w:trHeight w:val="150"/>
          <w:jc w:val="center"/>
        </w:trPr>
        <w:tc>
          <w:tcPr>
            <w:tcW w:w="2609"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lastRenderedPageBreak/>
              <w:t>p. 194, In Practice, last 3 sentences</w:t>
            </w:r>
          </w:p>
        </w:tc>
        <w:tc>
          <w:tcPr>
            <w:tcW w:w="3600" w:type="dxa"/>
          </w:tcPr>
          <w:p w:rsidR="00857219" w:rsidRDefault="00857219" w:rsidP="00F533CB">
            <w:pPr>
              <w:tabs>
                <w:tab w:val="left" w:pos="1800"/>
              </w:tabs>
              <w:autoSpaceDE w:val="0"/>
              <w:autoSpaceDN w:val="0"/>
              <w:adjustRightInd w:val="0"/>
              <w:rPr>
                <w:rFonts w:ascii="Times New Roman" w:hAnsi="Times New Roman"/>
              </w:rPr>
            </w:pPr>
          </w:p>
        </w:tc>
        <w:tc>
          <w:tcPr>
            <w:tcW w:w="3869"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857219" w:rsidRPr="00B261C9" w:rsidTr="00F533CB">
        <w:trPr>
          <w:trHeight w:val="150"/>
          <w:jc w:val="center"/>
        </w:trPr>
        <w:tc>
          <w:tcPr>
            <w:tcW w:w="2609"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t>p. 202, first paragraph</w:t>
            </w:r>
          </w:p>
        </w:tc>
        <w:tc>
          <w:tcPr>
            <w:tcW w:w="3600" w:type="dxa"/>
          </w:tcPr>
          <w:p w:rsidR="00857219" w:rsidRDefault="00857219" w:rsidP="00857219">
            <w:pPr>
              <w:tabs>
                <w:tab w:val="left" w:pos="1800"/>
              </w:tabs>
              <w:autoSpaceDE w:val="0"/>
              <w:autoSpaceDN w:val="0"/>
              <w:adjustRightInd w:val="0"/>
              <w:rPr>
                <w:rFonts w:ascii="Times New Roman" w:hAnsi="Times New Roman"/>
              </w:rPr>
            </w:pPr>
            <w:r w:rsidRPr="00857219">
              <w:rPr>
                <w:rFonts w:ascii="Adobe Garamond Pro" w:hAnsi="Adobe Garamond Pro"/>
                <w:color w:val="221E1F"/>
                <w:sz w:val="22"/>
                <w:szCs w:val="22"/>
              </w:rPr>
              <w:t>Figure 11.3 is a sample Illinois residential sales contract.</w:t>
            </w:r>
          </w:p>
        </w:tc>
        <w:tc>
          <w:tcPr>
            <w:tcW w:w="3869"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t>See Figure 11.3.</w:t>
            </w:r>
          </w:p>
        </w:tc>
      </w:tr>
      <w:tr w:rsidR="00857219" w:rsidRPr="00B261C9" w:rsidTr="00F533CB">
        <w:trPr>
          <w:trHeight w:val="150"/>
          <w:jc w:val="center"/>
        </w:trPr>
        <w:tc>
          <w:tcPr>
            <w:tcW w:w="2609"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t>p. 202, last paragraph</w:t>
            </w:r>
          </w:p>
        </w:tc>
        <w:tc>
          <w:tcPr>
            <w:tcW w:w="3600" w:type="dxa"/>
          </w:tcPr>
          <w:p w:rsidR="00857219" w:rsidRDefault="00857219" w:rsidP="00F533CB">
            <w:pPr>
              <w:tabs>
                <w:tab w:val="left" w:pos="1800"/>
              </w:tabs>
              <w:autoSpaceDE w:val="0"/>
              <w:autoSpaceDN w:val="0"/>
              <w:adjustRightInd w:val="0"/>
              <w:rPr>
                <w:rFonts w:ascii="Times New Roman" w:hAnsi="Times New Roman"/>
              </w:rPr>
            </w:pPr>
            <w:r>
              <w:rPr>
                <w:rFonts w:ascii="Times New Roman" w:hAnsi="Times New Roman"/>
              </w:rPr>
              <w:t>ADDED NEW TEXT</w:t>
            </w:r>
          </w:p>
        </w:tc>
        <w:tc>
          <w:tcPr>
            <w:tcW w:w="3869" w:type="dxa"/>
          </w:tcPr>
          <w:p w:rsidR="00857219" w:rsidRPr="008B18EF" w:rsidRDefault="00857219"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cs="Tahoma"/>
                <w:color w:val="060606"/>
                <w:sz w:val="22"/>
                <w:szCs w:val="22"/>
              </w:rPr>
              <w:t>If one or more parties doesn't sign, the release can be negotiated by the parties' attorneys or either party can file a civil lawsuit for the disbursement of the earnest money. If no agreement is reached, the funds are released to the state treasurer.</w:t>
            </w:r>
          </w:p>
        </w:tc>
      </w:tr>
      <w:tr w:rsidR="00857219" w:rsidRPr="00B261C9" w:rsidTr="00F533CB">
        <w:trPr>
          <w:trHeight w:val="150"/>
          <w:jc w:val="center"/>
        </w:trPr>
        <w:tc>
          <w:tcPr>
            <w:tcW w:w="2609" w:type="dxa"/>
          </w:tcPr>
          <w:p w:rsidR="00857219" w:rsidRDefault="00DC66E8" w:rsidP="00F533CB">
            <w:pPr>
              <w:tabs>
                <w:tab w:val="left" w:pos="1800"/>
              </w:tabs>
              <w:autoSpaceDE w:val="0"/>
              <w:autoSpaceDN w:val="0"/>
              <w:adjustRightInd w:val="0"/>
              <w:rPr>
                <w:rFonts w:ascii="Times New Roman" w:hAnsi="Times New Roman"/>
              </w:rPr>
            </w:pPr>
            <w:r>
              <w:rPr>
                <w:rFonts w:ascii="Times New Roman" w:hAnsi="Times New Roman"/>
              </w:rPr>
              <w:t>p. 251, Key Terms</w:t>
            </w:r>
          </w:p>
        </w:tc>
        <w:tc>
          <w:tcPr>
            <w:tcW w:w="3600" w:type="dxa"/>
          </w:tcPr>
          <w:p w:rsidR="00857219" w:rsidRDefault="00857219" w:rsidP="00F533CB">
            <w:pPr>
              <w:tabs>
                <w:tab w:val="left" w:pos="1800"/>
              </w:tabs>
              <w:autoSpaceDE w:val="0"/>
              <w:autoSpaceDN w:val="0"/>
              <w:adjustRightInd w:val="0"/>
              <w:rPr>
                <w:rFonts w:ascii="Times New Roman" w:hAnsi="Times New Roman"/>
              </w:rPr>
            </w:pPr>
          </w:p>
        </w:tc>
        <w:tc>
          <w:tcPr>
            <w:tcW w:w="3869" w:type="dxa"/>
          </w:tcPr>
          <w:p w:rsidR="00857219" w:rsidRPr="008B18EF" w:rsidRDefault="00DC66E8"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Added “designated managing broker”</w:t>
            </w:r>
          </w:p>
        </w:tc>
      </w:tr>
      <w:tr w:rsidR="00023D93" w:rsidRPr="00B261C9" w:rsidTr="00F533CB">
        <w:trPr>
          <w:trHeight w:val="150"/>
          <w:jc w:val="center"/>
        </w:trPr>
        <w:tc>
          <w:tcPr>
            <w:tcW w:w="2609" w:type="dxa"/>
          </w:tcPr>
          <w:p w:rsidR="00023D93" w:rsidRDefault="00023D93" w:rsidP="00F533CB">
            <w:pPr>
              <w:tabs>
                <w:tab w:val="left" w:pos="1800"/>
              </w:tabs>
              <w:autoSpaceDE w:val="0"/>
              <w:autoSpaceDN w:val="0"/>
              <w:adjustRightInd w:val="0"/>
              <w:rPr>
                <w:rFonts w:ascii="Times New Roman" w:hAnsi="Times New Roman"/>
              </w:rPr>
            </w:pPr>
            <w:r>
              <w:rPr>
                <w:rFonts w:ascii="Times New Roman" w:hAnsi="Times New Roman"/>
              </w:rPr>
              <w:t>p. 252, 2</w:t>
            </w:r>
            <w:r w:rsidRPr="00023D93">
              <w:rPr>
                <w:rFonts w:ascii="Times New Roman" w:hAnsi="Times New Roman"/>
                <w:vertAlign w:val="superscript"/>
              </w:rPr>
              <w:t>nd</w:t>
            </w:r>
            <w:r>
              <w:rPr>
                <w:rFonts w:ascii="Times New Roman" w:hAnsi="Times New Roman"/>
              </w:rPr>
              <w:t xml:space="preserve"> sentence</w:t>
            </w:r>
          </w:p>
        </w:tc>
        <w:tc>
          <w:tcPr>
            <w:tcW w:w="3600" w:type="dxa"/>
          </w:tcPr>
          <w:p w:rsidR="00023D93" w:rsidRPr="00023D93" w:rsidRDefault="00023D93" w:rsidP="00023D93">
            <w:pPr>
              <w:autoSpaceDE w:val="0"/>
              <w:autoSpaceDN w:val="0"/>
              <w:adjustRightInd w:val="0"/>
              <w:rPr>
                <w:rFonts w:ascii="Adobe Garamond Pro" w:hAnsi="Adobe Garamond Pro" w:cs="Adobe Garamond Pro"/>
                <w:color w:val="000000"/>
              </w:rPr>
            </w:pPr>
          </w:p>
          <w:p w:rsidR="00023D93" w:rsidRDefault="00023D93" w:rsidP="00023D93">
            <w:pPr>
              <w:tabs>
                <w:tab w:val="left" w:pos="1800"/>
              </w:tabs>
              <w:autoSpaceDE w:val="0"/>
              <w:autoSpaceDN w:val="0"/>
              <w:adjustRightInd w:val="0"/>
              <w:rPr>
                <w:rFonts w:ascii="Times New Roman" w:hAnsi="Times New Roman"/>
              </w:rPr>
            </w:pPr>
            <w:r w:rsidRPr="00023D93">
              <w:rPr>
                <w:rFonts w:ascii="Adobe Garamond Pro" w:hAnsi="Adobe Garamond Pro"/>
                <w:color w:val="221E1F"/>
                <w:sz w:val="22"/>
                <w:szCs w:val="22"/>
              </w:rPr>
              <w:t xml:space="preserve">The Division of Real Estate was created in 2014 and is led by the Coordinator, who reports directly to the </w:t>
            </w:r>
            <w:proofErr w:type="spellStart"/>
            <w:r w:rsidRPr="00023D93">
              <w:rPr>
                <w:rFonts w:ascii="Adobe Garamond Pro" w:hAnsi="Adobe Garamond Pro"/>
                <w:color w:val="221E1F"/>
                <w:sz w:val="22"/>
                <w:szCs w:val="22"/>
              </w:rPr>
              <w:t>IDFPR</w:t>
            </w:r>
            <w:proofErr w:type="spellEnd"/>
            <w:r w:rsidRPr="00023D93">
              <w:rPr>
                <w:rFonts w:ascii="Adobe Garamond Pro" w:hAnsi="Adobe Garamond Pro"/>
                <w:color w:val="221E1F"/>
                <w:sz w:val="22"/>
                <w:szCs w:val="22"/>
              </w:rPr>
              <w:t xml:space="preserve"> acting secretary.</w:t>
            </w:r>
          </w:p>
        </w:tc>
        <w:tc>
          <w:tcPr>
            <w:tcW w:w="3869" w:type="dxa"/>
          </w:tcPr>
          <w:p w:rsidR="00023D93" w:rsidRPr="008B18EF" w:rsidRDefault="00023D93" w:rsidP="00F533CB">
            <w:pPr>
              <w:tabs>
                <w:tab w:val="left" w:pos="1800"/>
              </w:tabs>
              <w:autoSpaceDE w:val="0"/>
              <w:autoSpaceDN w:val="0"/>
              <w:adjustRightInd w:val="0"/>
              <w:rPr>
                <w:rFonts w:ascii="Adobe Garamond Pro" w:hAnsi="Adobe Garamond Pro" w:cs="Tahoma"/>
                <w:color w:val="000000"/>
                <w:sz w:val="22"/>
                <w:szCs w:val="22"/>
              </w:rPr>
            </w:pPr>
            <w:r>
              <w:rPr>
                <w:rFonts w:ascii="Adobe Garamond Pro" w:hAnsi="Adobe Garamond Pro" w:cs="Tahoma"/>
                <w:color w:val="000000"/>
                <w:sz w:val="22"/>
                <w:szCs w:val="22"/>
              </w:rPr>
              <w:t xml:space="preserve">The Division of Real Estate </w:t>
            </w:r>
            <w:r w:rsidRPr="00023D93">
              <w:rPr>
                <w:rFonts w:ascii="Adobe Garamond Pro" w:hAnsi="Adobe Garamond Pro" w:cs="Tahoma"/>
                <w:color w:val="000000"/>
                <w:sz w:val="22"/>
                <w:szCs w:val="22"/>
              </w:rPr>
              <w:t>is led by the Director, and includes a Real Estate Coordinator and Secretary.</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258, Broker Requirements</w:t>
            </w:r>
          </w:p>
        </w:tc>
        <w:tc>
          <w:tcPr>
            <w:tcW w:w="3600"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ADDED MARGIN NOTE</w:t>
            </w:r>
          </w:p>
        </w:tc>
        <w:tc>
          <w:tcPr>
            <w:tcW w:w="3869" w:type="dxa"/>
          </w:tcPr>
          <w:p w:rsidR="00DC66E8" w:rsidRPr="008B18EF" w:rsidRDefault="00DC66E8"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cs="Tahoma"/>
                <w:color w:val="000000"/>
                <w:sz w:val="22"/>
                <w:szCs w:val="22"/>
              </w:rPr>
              <w:t>An applicant must meet all criteria to receive a license before they can get an active permit. To have an active license, the applicant must then have a valid sponsorship.</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258, Managing Broker’s License</w:t>
            </w:r>
          </w:p>
        </w:tc>
        <w:tc>
          <w:tcPr>
            <w:tcW w:w="3600" w:type="dxa"/>
          </w:tcPr>
          <w:p w:rsidR="00DC66E8" w:rsidRDefault="00DC66E8" w:rsidP="00DC66E8">
            <w:pPr>
              <w:tabs>
                <w:tab w:val="left" w:pos="1800"/>
              </w:tabs>
              <w:autoSpaceDE w:val="0"/>
              <w:autoSpaceDN w:val="0"/>
              <w:adjustRightInd w:val="0"/>
              <w:rPr>
                <w:rFonts w:ascii="Times New Roman" w:hAnsi="Times New Roman"/>
              </w:rPr>
            </w:pPr>
            <w:r w:rsidRPr="00DC66E8">
              <w:rPr>
                <w:rFonts w:ascii="Adobe Garamond Pro" w:hAnsi="Adobe Garamond Pro"/>
                <w:color w:val="221E1F"/>
                <w:sz w:val="22"/>
                <w:szCs w:val="22"/>
              </w:rPr>
              <w:t xml:space="preserve">A </w:t>
            </w:r>
            <w:r w:rsidRPr="00DC66E8">
              <w:rPr>
                <w:rFonts w:ascii="Adobe Garamond Pro Bold" w:hAnsi="Adobe Garamond Pro Bold" w:cs="Adobe Garamond Pro Bold"/>
                <w:b/>
                <w:bCs/>
                <w:color w:val="221E1F"/>
                <w:sz w:val="22"/>
                <w:szCs w:val="22"/>
              </w:rPr>
              <w:t xml:space="preserve">managing broker </w:t>
            </w:r>
            <w:r w:rsidRPr="00DC66E8">
              <w:rPr>
                <w:rFonts w:ascii="Adobe Garamond Pro" w:hAnsi="Adobe Garamond Pro" w:cs="Adobe Garamond Pro"/>
                <w:color w:val="221E1F"/>
                <w:sz w:val="22"/>
                <w:szCs w:val="22"/>
              </w:rPr>
              <w:t>supervises licensees in one or more offices and is appointed as such by the sponsoring broker.</w:t>
            </w:r>
          </w:p>
        </w:tc>
        <w:tc>
          <w:tcPr>
            <w:tcW w:w="3869" w:type="dxa"/>
          </w:tcPr>
          <w:p w:rsidR="00DC66E8" w:rsidRPr="00DC66E8" w:rsidRDefault="00DC66E8" w:rsidP="00DC66E8">
            <w:pPr>
              <w:tabs>
                <w:tab w:val="left" w:pos="1800"/>
              </w:tabs>
              <w:autoSpaceDE w:val="0"/>
              <w:autoSpaceDN w:val="0"/>
              <w:adjustRightInd w:val="0"/>
              <w:rPr>
                <w:rFonts w:ascii="Adobe Garamond Pro Bold" w:hAnsi="Adobe Garamond Pro Bold" w:cs="Adobe Garamond Pro Bold"/>
                <w:bCs/>
                <w:color w:val="221E1F"/>
                <w:sz w:val="22"/>
                <w:szCs w:val="22"/>
              </w:rPr>
            </w:pPr>
            <w:r w:rsidRPr="00DC66E8">
              <w:rPr>
                <w:rFonts w:ascii="Adobe Garamond Pro" w:hAnsi="Adobe Garamond Pro"/>
                <w:color w:val="221E1F"/>
                <w:sz w:val="22"/>
                <w:szCs w:val="22"/>
              </w:rPr>
              <w:t xml:space="preserve">A </w:t>
            </w:r>
            <w:r w:rsidRPr="00DC66E8">
              <w:rPr>
                <w:rFonts w:ascii="Adobe Garamond Pro Bold" w:hAnsi="Adobe Garamond Pro Bold" w:cs="Adobe Garamond Pro Bold"/>
                <w:b/>
                <w:bCs/>
                <w:color w:val="221E1F"/>
                <w:sz w:val="22"/>
                <w:szCs w:val="22"/>
              </w:rPr>
              <w:t>managing broker</w:t>
            </w:r>
            <w:r w:rsidRPr="00DC66E8">
              <w:rPr>
                <w:rFonts w:ascii="Adobe Garamond Pro Bold" w:hAnsi="Adobe Garamond Pro Bold" w:cs="Adobe Garamond Pro Bold"/>
                <w:bCs/>
                <w:color w:val="221E1F"/>
                <w:sz w:val="22"/>
                <w:szCs w:val="22"/>
              </w:rPr>
              <w:t xml:space="preserve"> is a licensee who may be authorized</w:t>
            </w:r>
            <w:r>
              <w:rPr>
                <w:rFonts w:ascii="Adobe Garamond Pro Bold" w:hAnsi="Adobe Garamond Pro Bold" w:cs="Adobe Garamond Pro Bold"/>
                <w:bCs/>
                <w:color w:val="221E1F"/>
                <w:sz w:val="22"/>
                <w:szCs w:val="22"/>
              </w:rPr>
              <w:t xml:space="preserve"> </w:t>
            </w:r>
            <w:r w:rsidRPr="00DC66E8">
              <w:rPr>
                <w:rFonts w:ascii="Adobe Garamond Pro Bold" w:hAnsi="Adobe Garamond Pro Bold" w:cs="Adobe Garamond Pro Bold"/>
                <w:bCs/>
                <w:color w:val="221E1F"/>
                <w:sz w:val="22"/>
                <w:szCs w:val="22"/>
              </w:rPr>
              <w:t>to assume responsibilities as a designated m</w:t>
            </w:r>
            <w:r w:rsidR="00270A20">
              <w:rPr>
                <w:rFonts w:ascii="Adobe Garamond Pro Bold" w:hAnsi="Adobe Garamond Pro Bold" w:cs="Adobe Garamond Pro Bold"/>
                <w:bCs/>
                <w:color w:val="221E1F"/>
                <w:sz w:val="22"/>
                <w:szCs w:val="22"/>
              </w:rPr>
              <w:t xml:space="preserve">anaging broker if appointed by </w:t>
            </w:r>
            <w:r w:rsidRPr="00DC66E8">
              <w:rPr>
                <w:rFonts w:ascii="Adobe Garamond Pro Bold" w:hAnsi="Adobe Garamond Pro Bold" w:cs="Adobe Garamond Pro Bold"/>
                <w:bCs/>
                <w:color w:val="221E1F"/>
                <w:sz w:val="22"/>
                <w:szCs w:val="22"/>
              </w:rPr>
              <w:t>the sponsoring broker and registered with the Department.</w:t>
            </w:r>
          </w:p>
        </w:tc>
      </w:tr>
      <w:tr w:rsidR="00270A20" w:rsidRPr="00B261C9" w:rsidTr="00F533CB">
        <w:trPr>
          <w:trHeight w:val="150"/>
          <w:jc w:val="center"/>
        </w:trPr>
        <w:tc>
          <w:tcPr>
            <w:tcW w:w="2609" w:type="dxa"/>
          </w:tcPr>
          <w:p w:rsidR="00270A20" w:rsidRDefault="00270A20" w:rsidP="00F533CB">
            <w:pPr>
              <w:tabs>
                <w:tab w:val="left" w:pos="1800"/>
              </w:tabs>
              <w:autoSpaceDE w:val="0"/>
              <w:autoSpaceDN w:val="0"/>
              <w:adjustRightInd w:val="0"/>
              <w:rPr>
                <w:rFonts w:ascii="Times New Roman" w:hAnsi="Times New Roman"/>
              </w:rPr>
            </w:pPr>
            <w:r>
              <w:rPr>
                <w:rFonts w:ascii="Times New Roman" w:hAnsi="Times New Roman"/>
              </w:rPr>
              <w:t>p. 264, before License Fees</w:t>
            </w:r>
          </w:p>
        </w:tc>
        <w:tc>
          <w:tcPr>
            <w:tcW w:w="3600" w:type="dxa"/>
          </w:tcPr>
          <w:p w:rsidR="00270A20" w:rsidRDefault="00270A20" w:rsidP="00F533CB">
            <w:pPr>
              <w:tabs>
                <w:tab w:val="left" w:pos="1800"/>
              </w:tabs>
              <w:autoSpaceDE w:val="0"/>
              <w:autoSpaceDN w:val="0"/>
              <w:adjustRightInd w:val="0"/>
              <w:rPr>
                <w:rFonts w:ascii="Times New Roman" w:hAnsi="Times New Roman"/>
              </w:rPr>
            </w:pPr>
            <w:r>
              <w:rPr>
                <w:rFonts w:ascii="Times New Roman" w:hAnsi="Times New Roman"/>
              </w:rPr>
              <w:t>ADDED TEXT</w:t>
            </w:r>
          </w:p>
        </w:tc>
        <w:tc>
          <w:tcPr>
            <w:tcW w:w="3869" w:type="dxa"/>
          </w:tcPr>
          <w:p w:rsidR="00270A20" w:rsidRPr="00DC66E8" w:rsidRDefault="00270A20" w:rsidP="00F533CB">
            <w:pPr>
              <w:tabs>
                <w:tab w:val="left" w:pos="1800"/>
              </w:tabs>
              <w:autoSpaceDE w:val="0"/>
              <w:autoSpaceDN w:val="0"/>
              <w:adjustRightInd w:val="0"/>
              <w:rPr>
                <w:rFonts w:ascii="Times New Roman" w:hAnsi="Times New Roman"/>
              </w:rPr>
            </w:pPr>
            <w:r w:rsidRPr="00270A20">
              <w:rPr>
                <w:rFonts w:ascii="Times New Roman" w:hAnsi="Times New Roman"/>
              </w:rPr>
              <w:t>The licensee must request a waiver from the Department.</w:t>
            </w:r>
          </w:p>
        </w:tc>
      </w:tr>
      <w:tr w:rsidR="00A2442F" w:rsidRPr="00B261C9" w:rsidTr="00F533CB">
        <w:trPr>
          <w:trHeight w:val="150"/>
          <w:jc w:val="center"/>
        </w:trPr>
        <w:tc>
          <w:tcPr>
            <w:tcW w:w="2609" w:type="dxa"/>
          </w:tcPr>
          <w:p w:rsidR="00A2442F" w:rsidRDefault="00A2442F" w:rsidP="00F533CB">
            <w:pPr>
              <w:tabs>
                <w:tab w:val="left" w:pos="1800"/>
              </w:tabs>
              <w:autoSpaceDE w:val="0"/>
              <w:autoSpaceDN w:val="0"/>
              <w:adjustRightInd w:val="0"/>
              <w:rPr>
                <w:rFonts w:ascii="Times New Roman" w:hAnsi="Times New Roman"/>
              </w:rPr>
            </w:pPr>
            <w:r>
              <w:rPr>
                <w:rFonts w:ascii="Times New Roman" w:hAnsi="Times New Roman"/>
              </w:rPr>
              <w:t>p. 264, 2</w:t>
            </w:r>
            <w:r w:rsidRPr="00A2442F">
              <w:rPr>
                <w:rFonts w:ascii="Times New Roman" w:hAnsi="Times New Roman"/>
                <w:vertAlign w:val="superscript"/>
              </w:rPr>
              <w:t>nd</w:t>
            </w:r>
            <w:r>
              <w:rPr>
                <w:rFonts w:ascii="Times New Roman" w:hAnsi="Times New Roman"/>
              </w:rPr>
              <w:t xml:space="preserve"> paragraph under Continuing Education</w:t>
            </w:r>
          </w:p>
        </w:tc>
        <w:tc>
          <w:tcPr>
            <w:tcW w:w="3600" w:type="dxa"/>
          </w:tcPr>
          <w:p w:rsidR="00A2442F" w:rsidRDefault="00A2442F" w:rsidP="00F533CB">
            <w:pPr>
              <w:tabs>
                <w:tab w:val="left" w:pos="1800"/>
              </w:tabs>
              <w:autoSpaceDE w:val="0"/>
              <w:autoSpaceDN w:val="0"/>
              <w:adjustRightInd w:val="0"/>
              <w:rPr>
                <w:rFonts w:ascii="Times New Roman" w:hAnsi="Times New Roman"/>
              </w:rPr>
            </w:pPr>
            <w:r>
              <w:rPr>
                <w:rFonts w:ascii="Times New Roman" w:hAnsi="Times New Roman"/>
              </w:rPr>
              <w:t>ADDED TEXT</w:t>
            </w:r>
          </w:p>
        </w:tc>
        <w:tc>
          <w:tcPr>
            <w:tcW w:w="3869" w:type="dxa"/>
          </w:tcPr>
          <w:p w:rsidR="00A2442F" w:rsidRPr="00DC66E8" w:rsidRDefault="00A2442F" w:rsidP="00F533CB">
            <w:pPr>
              <w:tabs>
                <w:tab w:val="left" w:pos="1800"/>
              </w:tabs>
              <w:autoSpaceDE w:val="0"/>
              <w:autoSpaceDN w:val="0"/>
              <w:adjustRightInd w:val="0"/>
              <w:rPr>
                <w:rFonts w:ascii="Times New Roman" w:hAnsi="Times New Roman"/>
              </w:rPr>
            </w:pPr>
            <w:r w:rsidRPr="00A2442F">
              <w:rPr>
                <w:rFonts w:ascii="Times New Roman" w:hAnsi="Times New Roman"/>
              </w:rPr>
              <w:t>The 12 hours include 4 hours of mandatory core and 8 hours of elective education (the elective education must include 1 hour of sexual harassment prevention training.)</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265, first bullet</w:t>
            </w:r>
          </w:p>
        </w:tc>
        <w:tc>
          <w:tcPr>
            <w:tcW w:w="3600"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ADDED TO BULLET</w:t>
            </w:r>
          </w:p>
        </w:tc>
        <w:tc>
          <w:tcPr>
            <w:tcW w:w="3869" w:type="dxa"/>
          </w:tcPr>
          <w:p w:rsidR="00DC66E8" w:rsidRDefault="00DC66E8" w:rsidP="00F533CB">
            <w:pPr>
              <w:tabs>
                <w:tab w:val="left" w:pos="1800"/>
              </w:tabs>
              <w:autoSpaceDE w:val="0"/>
              <w:autoSpaceDN w:val="0"/>
              <w:adjustRightInd w:val="0"/>
              <w:rPr>
                <w:rFonts w:ascii="Times New Roman" w:hAnsi="Times New Roman"/>
              </w:rPr>
            </w:pPr>
            <w:r w:rsidRPr="00DC66E8">
              <w:rPr>
                <w:rFonts w:ascii="Times New Roman" w:hAnsi="Times New Roman"/>
              </w:rPr>
              <w:t>(the wavier is not automatic and must be requested by the licensee</w:t>
            </w:r>
            <w:r w:rsidR="00270A20">
              <w:rPr>
                <w:rFonts w:ascii="Times New Roman" w:hAnsi="Times New Roman"/>
              </w:rPr>
              <w:t xml:space="preserve"> prior to renewal</w:t>
            </w:r>
            <w:r w:rsidRPr="00DC66E8">
              <w:rPr>
                <w:rFonts w:ascii="Times New Roman" w:hAnsi="Times New Roman"/>
              </w:rPr>
              <w:t>)</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265, Course Content</w:t>
            </w:r>
          </w:p>
        </w:tc>
        <w:tc>
          <w:tcPr>
            <w:tcW w:w="3600" w:type="dxa"/>
          </w:tcPr>
          <w:p w:rsidR="00DC66E8" w:rsidRDefault="00DC66E8" w:rsidP="00DC66E8">
            <w:pPr>
              <w:tabs>
                <w:tab w:val="left" w:pos="1800"/>
              </w:tabs>
              <w:autoSpaceDE w:val="0"/>
              <w:autoSpaceDN w:val="0"/>
              <w:adjustRightInd w:val="0"/>
              <w:rPr>
                <w:rFonts w:ascii="Times New Roman" w:hAnsi="Times New Roman"/>
              </w:rPr>
            </w:pPr>
            <w:r w:rsidRPr="00DC66E8">
              <w:rPr>
                <w:rFonts w:ascii="Adobe Garamond Pro" w:hAnsi="Adobe Garamond Pro"/>
                <w:color w:val="221E1F"/>
                <w:sz w:val="22"/>
                <w:szCs w:val="22"/>
              </w:rPr>
              <w:t>Regarding the elective curriculum of eight hours, the Board considers subjects that cover the various aspects of the practice of real estate that are covered under the scope of the act.</w:t>
            </w:r>
          </w:p>
        </w:tc>
        <w:tc>
          <w:tcPr>
            <w:tcW w:w="3869" w:type="dxa"/>
          </w:tcPr>
          <w:p w:rsidR="00DC66E8" w:rsidRPr="00DC66E8" w:rsidRDefault="00DC66E8" w:rsidP="00DC66E8">
            <w:pPr>
              <w:rPr>
                <w:rFonts w:ascii="Times New Roman" w:hAnsi="Times New Roman"/>
              </w:rPr>
            </w:pPr>
            <w:r w:rsidRPr="00DC66E8">
              <w:rPr>
                <w:rFonts w:ascii="Adobe Garamond Pro" w:hAnsi="Adobe Garamond Pro"/>
                <w:color w:val="221E1F"/>
                <w:sz w:val="22"/>
                <w:szCs w:val="22"/>
              </w:rPr>
              <w:t>Regarding the elective curriculum of eight hours, the Board considers subjects that cover the various aspects of the practice of real estate that are covered under the scope of the act.</w:t>
            </w:r>
            <w:r w:rsidR="008B18EF">
              <w:rPr>
                <w:rFonts w:ascii="Adobe Garamond Pro" w:hAnsi="Adobe Garamond Pro"/>
                <w:color w:val="221E1F"/>
                <w:sz w:val="22"/>
                <w:szCs w:val="22"/>
              </w:rPr>
              <w:t xml:space="preserve"> </w:t>
            </w:r>
            <w:r w:rsidRPr="008B18EF">
              <w:rPr>
                <w:rFonts w:ascii="Adobe Garamond Pro" w:hAnsi="Adobe Garamond Pro" w:cs="Tahoma"/>
                <w:color w:val="000000"/>
                <w:sz w:val="22"/>
                <w:szCs w:val="22"/>
              </w:rPr>
              <w:t>One of the eight hours of elective education must include a sexual harassment prevention training course.</w:t>
            </w:r>
          </w:p>
        </w:tc>
      </w:tr>
      <w:tr w:rsidR="00A2442F" w:rsidRPr="00B261C9" w:rsidTr="00F533CB">
        <w:trPr>
          <w:trHeight w:val="150"/>
          <w:jc w:val="center"/>
        </w:trPr>
        <w:tc>
          <w:tcPr>
            <w:tcW w:w="2609" w:type="dxa"/>
          </w:tcPr>
          <w:p w:rsidR="00A2442F" w:rsidRDefault="00A2442F" w:rsidP="00F533CB">
            <w:pPr>
              <w:tabs>
                <w:tab w:val="left" w:pos="1800"/>
              </w:tabs>
              <w:autoSpaceDE w:val="0"/>
              <w:autoSpaceDN w:val="0"/>
              <w:adjustRightInd w:val="0"/>
              <w:rPr>
                <w:rFonts w:ascii="Times New Roman" w:hAnsi="Times New Roman"/>
              </w:rPr>
            </w:pPr>
            <w:r>
              <w:rPr>
                <w:rFonts w:ascii="Times New Roman" w:hAnsi="Times New Roman"/>
              </w:rPr>
              <w:t xml:space="preserve">p. 266, paragraph before Your Real Estate </w:t>
            </w:r>
            <w:r>
              <w:rPr>
                <w:rFonts w:ascii="Times New Roman" w:hAnsi="Times New Roman"/>
              </w:rPr>
              <w:lastRenderedPageBreak/>
              <w:t>Business and the Act</w:t>
            </w:r>
          </w:p>
        </w:tc>
        <w:tc>
          <w:tcPr>
            <w:tcW w:w="3600" w:type="dxa"/>
          </w:tcPr>
          <w:p w:rsidR="00A2442F" w:rsidRPr="00DC66E8" w:rsidRDefault="00A2442F" w:rsidP="00DC66E8">
            <w:pPr>
              <w:tabs>
                <w:tab w:val="left" w:pos="1800"/>
              </w:tabs>
              <w:autoSpaceDE w:val="0"/>
              <w:autoSpaceDN w:val="0"/>
              <w:adjustRightInd w:val="0"/>
              <w:rPr>
                <w:rFonts w:ascii="Adobe Garamond Pro" w:hAnsi="Adobe Garamond Pro"/>
                <w:color w:val="221E1F"/>
                <w:sz w:val="22"/>
                <w:szCs w:val="22"/>
              </w:rPr>
            </w:pPr>
            <w:r>
              <w:rPr>
                <w:rFonts w:ascii="Adobe Garamond Pro" w:hAnsi="Adobe Garamond Pro"/>
                <w:color w:val="221E1F"/>
                <w:sz w:val="22"/>
                <w:szCs w:val="22"/>
              </w:rPr>
              <w:lastRenderedPageBreak/>
              <w:t>Changed “Board” to “Department and ADDED TEXT</w:t>
            </w:r>
          </w:p>
        </w:tc>
        <w:tc>
          <w:tcPr>
            <w:tcW w:w="3869" w:type="dxa"/>
          </w:tcPr>
          <w:p w:rsidR="00A2442F" w:rsidRPr="00DC66E8" w:rsidRDefault="00A2442F" w:rsidP="00A2442F">
            <w:pPr>
              <w:rPr>
                <w:rFonts w:ascii="Adobe Garamond Pro" w:hAnsi="Adobe Garamond Pro"/>
                <w:color w:val="221E1F"/>
                <w:sz w:val="22"/>
                <w:szCs w:val="22"/>
              </w:rPr>
            </w:pPr>
            <w:r w:rsidRPr="00A2442F">
              <w:rPr>
                <w:rFonts w:ascii="Adobe Garamond Pro" w:hAnsi="Adobe Garamond Pro"/>
                <w:color w:val="221E1F"/>
                <w:sz w:val="22"/>
                <w:szCs w:val="22"/>
              </w:rPr>
              <w:t xml:space="preserve">If a renewal applicant has earned CE hours in another state, the Board may </w:t>
            </w:r>
            <w:r w:rsidRPr="00A2442F">
              <w:rPr>
                <w:rFonts w:ascii="Adobe Garamond Pro" w:hAnsi="Adobe Garamond Pro"/>
                <w:color w:val="221E1F"/>
                <w:sz w:val="22"/>
                <w:szCs w:val="22"/>
              </w:rPr>
              <w:lastRenderedPageBreak/>
              <w:t>approve the credit at its discretion based upon whether the course is one that would be approved under the Act.</w:t>
            </w:r>
            <w:r>
              <w:rPr>
                <w:rFonts w:ascii="Adobe Garamond Pro" w:hAnsi="Adobe Garamond Pro"/>
                <w:color w:val="221E1F"/>
                <w:sz w:val="22"/>
                <w:szCs w:val="22"/>
              </w:rPr>
              <w:t xml:space="preserve"> </w:t>
            </w:r>
            <w:r w:rsidRPr="00A2442F">
              <w:rPr>
                <w:rFonts w:ascii="Adobe Garamond Pro" w:hAnsi="Adobe Garamond Pro"/>
                <w:color w:val="221E1F"/>
                <w:sz w:val="22"/>
                <w:szCs w:val="22"/>
              </w:rPr>
              <w:t>The licensee must reach out to the Department before taking the out-of-state course to ensure the course will be accepted.</w:t>
            </w:r>
          </w:p>
        </w:tc>
      </w:tr>
      <w:tr w:rsidR="00CD3B00" w:rsidRPr="00B261C9" w:rsidTr="00F533CB">
        <w:trPr>
          <w:trHeight w:val="150"/>
          <w:jc w:val="center"/>
        </w:trPr>
        <w:tc>
          <w:tcPr>
            <w:tcW w:w="2609" w:type="dxa"/>
          </w:tcPr>
          <w:p w:rsidR="00CD3B00" w:rsidRDefault="00CD3B00" w:rsidP="00F533CB">
            <w:pPr>
              <w:tabs>
                <w:tab w:val="left" w:pos="1800"/>
              </w:tabs>
              <w:autoSpaceDE w:val="0"/>
              <w:autoSpaceDN w:val="0"/>
              <w:adjustRightInd w:val="0"/>
              <w:rPr>
                <w:rFonts w:ascii="Times New Roman" w:hAnsi="Times New Roman"/>
              </w:rPr>
            </w:pPr>
            <w:r>
              <w:rPr>
                <w:rFonts w:ascii="Times New Roman" w:hAnsi="Times New Roman"/>
              </w:rPr>
              <w:lastRenderedPageBreak/>
              <w:t>p. 271, “Teams”</w:t>
            </w:r>
          </w:p>
        </w:tc>
        <w:tc>
          <w:tcPr>
            <w:tcW w:w="3600" w:type="dxa"/>
          </w:tcPr>
          <w:p w:rsidR="00CD3B00" w:rsidRPr="00CD3B00" w:rsidRDefault="00CD3B00" w:rsidP="00CD3B00">
            <w:pPr>
              <w:autoSpaceDE w:val="0"/>
              <w:autoSpaceDN w:val="0"/>
              <w:adjustRightInd w:val="0"/>
              <w:rPr>
                <w:rFonts w:ascii="Adobe Garamond Pro" w:hAnsi="Adobe Garamond Pro" w:cs="Adobe Garamond Pro"/>
                <w:color w:val="000000"/>
              </w:rPr>
            </w:pPr>
          </w:p>
          <w:p w:rsidR="00CD3B00" w:rsidRPr="00DC66E8" w:rsidRDefault="00CD3B00" w:rsidP="00CD3B00">
            <w:pPr>
              <w:autoSpaceDE w:val="0"/>
              <w:autoSpaceDN w:val="0"/>
              <w:adjustRightInd w:val="0"/>
              <w:rPr>
                <w:rFonts w:ascii="Adobe Garamond Pro" w:hAnsi="Adobe Garamond Pro"/>
                <w:color w:val="221E1F"/>
                <w:sz w:val="22"/>
                <w:szCs w:val="22"/>
              </w:rPr>
            </w:pPr>
            <w:r w:rsidRPr="00CD3B00">
              <w:rPr>
                <w:rFonts w:ascii="Adobe Garamond Pro" w:hAnsi="Adobe Garamond Pro"/>
                <w:color w:val="221E1F"/>
                <w:sz w:val="22"/>
                <w:szCs w:val="22"/>
              </w:rPr>
              <w:t xml:space="preserve">A team </w:t>
            </w:r>
            <w:r>
              <w:rPr>
                <w:rFonts w:ascii="Adobe Garamond Pro" w:hAnsi="Adobe Garamond Pro"/>
                <w:color w:val="221E1F"/>
                <w:sz w:val="22"/>
                <w:szCs w:val="22"/>
              </w:rPr>
              <w:t>…</w:t>
            </w:r>
            <w:r w:rsidRPr="00CD3B00">
              <w:rPr>
                <w:rFonts w:ascii="Adobe Garamond Pro" w:hAnsi="Adobe Garamond Pro"/>
                <w:color w:val="221E1F"/>
                <w:sz w:val="22"/>
                <w:szCs w:val="22"/>
              </w:rPr>
              <w:t xml:space="preserve"> who are identified by a team name that is different than their sponsoring broker’s name, and who together are supervised by the same managing broker and sponsored by the same sponsoring broker.</w:t>
            </w:r>
          </w:p>
        </w:tc>
        <w:tc>
          <w:tcPr>
            <w:tcW w:w="3869" w:type="dxa"/>
          </w:tcPr>
          <w:p w:rsidR="00CD3B00" w:rsidRPr="00CD3B00" w:rsidRDefault="00CD3B00" w:rsidP="00CD3B00">
            <w:pPr>
              <w:autoSpaceDE w:val="0"/>
              <w:autoSpaceDN w:val="0"/>
              <w:adjustRightInd w:val="0"/>
              <w:rPr>
                <w:rFonts w:ascii="Adobe Garamond Pro" w:hAnsi="Adobe Garamond Pro" w:cs="Adobe Garamond Pro"/>
                <w:color w:val="000000"/>
              </w:rPr>
            </w:pPr>
          </w:p>
          <w:p w:rsidR="00CD3B00" w:rsidRPr="00DC66E8" w:rsidRDefault="00CD3B00" w:rsidP="00CD3B00">
            <w:pPr>
              <w:autoSpaceDE w:val="0"/>
              <w:autoSpaceDN w:val="0"/>
              <w:adjustRightInd w:val="0"/>
              <w:rPr>
                <w:rFonts w:ascii="Adobe Garamond Pro" w:hAnsi="Adobe Garamond Pro"/>
                <w:color w:val="221E1F"/>
                <w:sz w:val="22"/>
                <w:szCs w:val="22"/>
              </w:rPr>
            </w:pPr>
            <w:r w:rsidRPr="00CD3B00">
              <w:rPr>
                <w:rFonts w:ascii="Adobe Garamond Pro" w:hAnsi="Adobe Garamond Pro"/>
                <w:color w:val="221E1F"/>
                <w:sz w:val="22"/>
                <w:szCs w:val="22"/>
              </w:rPr>
              <w:t xml:space="preserve">A team </w:t>
            </w:r>
            <w:r>
              <w:rPr>
                <w:rFonts w:ascii="Adobe Garamond Pro" w:hAnsi="Adobe Garamond Pro"/>
                <w:color w:val="221E1F"/>
                <w:sz w:val="22"/>
                <w:szCs w:val="22"/>
              </w:rPr>
              <w:t>…</w:t>
            </w:r>
            <w:bookmarkStart w:id="0" w:name="_GoBack"/>
            <w:bookmarkEnd w:id="0"/>
            <w:r w:rsidRPr="00CD3B00">
              <w:rPr>
                <w:rFonts w:ascii="Adobe Garamond Pro" w:hAnsi="Adobe Garamond Pro"/>
                <w:color w:val="221E1F"/>
                <w:sz w:val="22"/>
                <w:szCs w:val="22"/>
              </w:rPr>
              <w:t xml:space="preserve"> who are identified by a team name that is different than their sponsoring broker’s name, and who together are supervised by the same </w:t>
            </w:r>
            <w:r>
              <w:rPr>
                <w:rFonts w:ascii="Adobe Garamond Pro" w:hAnsi="Adobe Garamond Pro"/>
                <w:color w:val="221E1F"/>
                <w:sz w:val="22"/>
                <w:szCs w:val="22"/>
              </w:rPr>
              <w:t xml:space="preserve">designated </w:t>
            </w:r>
            <w:r w:rsidRPr="00CD3B00">
              <w:rPr>
                <w:rFonts w:ascii="Adobe Garamond Pro" w:hAnsi="Adobe Garamond Pro"/>
                <w:color w:val="221E1F"/>
                <w:sz w:val="22"/>
                <w:szCs w:val="22"/>
              </w:rPr>
              <w:t>managing broker and sponsored by the same sponsoring broker.</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276</w:t>
            </w:r>
          </w:p>
        </w:tc>
        <w:tc>
          <w:tcPr>
            <w:tcW w:w="3600" w:type="dxa"/>
          </w:tcPr>
          <w:p w:rsidR="00DC66E8" w:rsidRPr="00DC66E8" w:rsidRDefault="00DC66E8" w:rsidP="00DC66E8">
            <w:pPr>
              <w:autoSpaceDE w:val="0"/>
              <w:autoSpaceDN w:val="0"/>
              <w:adjustRightInd w:val="0"/>
              <w:rPr>
                <w:rFonts w:ascii="Adobe Garamond Pro" w:hAnsi="Adobe Garamond Pro"/>
                <w:color w:val="221E1F"/>
                <w:sz w:val="22"/>
                <w:szCs w:val="22"/>
              </w:rPr>
            </w:pPr>
            <w:r w:rsidRPr="00DC66E8">
              <w:rPr>
                <w:rFonts w:ascii="Adobe Garamond Pro" w:hAnsi="Adobe Garamond Pro"/>
                <w:color w:val="221E1F"/>
                <w:sz w:val="22"/>
                <w:szCs w:val="22"/>
              </w:rPr>
              <w:t>Offering an improperly constructed guaranteed sales plan, one that does not meet the Act’s requirements for such plans</w:t>
            </w:r>
          </w:p>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Pr="00DC66E8" w:rsidRDefault="00DC66E8" w:rsidP="00DC66E8">
            <w:pPr>
              <w:autoSpaceDE w:val="0"/>
              <w:autoSpaceDN w:val="0"/>
              <w:adjustRightInd w:val="0"/>
              <w:rPr>
                <w:rFonts w:ascii="Adobe Garamond Pro" w:hAnsi="Adobe Garamond Pro"/>
                <w:color w:val="221E1F"/>
                <w:sz w:val="22"/>
                <w:szCs w:val="22"/>
              </w:rPr>
            </w:pPr>
            <w:r w:rsidRPr="00DC66E8">
              <w:rPr>
                <w:rFonts w:ascii="Adobe Garamond Pro" w:hAnsi="Adobe Garamond Pro"/>
                <w:color w:val="221E1F"/>
                <w:sz w:val="22"/>
                <w:szCs w:val="22"/>
              </w:rPr>
              <w:t>Offering an improperly constructed guaranteed sales plan, one that does not meet the Act’s requirements for such plans</w:t>
            </w:r>
            <w:r>
              <w:rPr>
                <w:rFonts w:ascii="Adobe Garamond Pro" w:hAnsi="Adobe Garamond Pro"/>
                <w:color w:val="221E1F"/>
                <w:sz w:val="22"/>
                <w:szCs w:val="22"/>
              </w:rPr>
              <w:t xml:space="preserve"> </w:t>
            </w:r>
            <w:r w:rsidRPr="00DC66E8">
              <w:rPr>
                <w:rFonts w:ascii="Adobe Garamond Pro" w:hAnsi="Adobe Garamond Pro"/>
                <w:color w:val="221E1F"/>
                <w:sz w:val="22"/>
                <w:szCs w:val="22"/>
              </w:rPr>
              <w:t xml:space="preserve">(225 </w:t>
            </w:r>
            <w:proofErr w:type="spellStart"/>
            <w:r w:rsidRPr="00DC66E8">
              <w:rPr>
                <w:rFonts w:ascii="Adobe Garamond Pro" w:hAnsi="Adobe Garamond Pro"/>
                <w:color w:val="221E1F"/>
                <w:sz w:val="22"/>
                <w:szCs w:val="22"/>
              </w:rPr>
              <w:t>ILCS</w:t>
            </w:r>
            <w:proofErr w:type="spellEnd"/>
            <w:r w:rsidRPr="00DC66E8">
              <w:rPr>
                <w:rFonts w:ascii="Adobe Garamond Pro" w:hAnsi="Adobe Garamond Pro"/>
                <w:color w:val="221E1F"/>
                <w:sz w:val="22"/>
                <w:szCs w:val="22"/>
              </w:rPr>
              <w:t xml:space="preserve"> 454/10-50)</w:t>
            </w:r>
          </w:p>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351, Margin note, last 2 sentences</w:t>
            </w: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361, Comparative Market Analysis, first 3 sentences</w:t>
            </w: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DELETED</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361, Comparative Market Analysis</w:t>
            </w:r>
          </w:p>
        </w:tc>
        <w:tc>
          <w:tcPr>
            <w:tcW w:w="3600"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ADDED after bulleted list</w:t>
            </w:r>
          </w:p>
        </w:tc>
        <w:tc>
          <w:tcPr>
            <w:tcW w:w="3869" w:type="dxa"/>
          </w:tcPr>
          <w:p w:rsidR="00DC66E8" w:rsidRPr="008B18EF" w:rsidRDefault="00DC66E8" w:rsidP="00DC66E8">
            <w:pPr>
              <w:autoSpaceDE w:val="0"/>
              <w:autoSpaceDN w:val="0"/>
              <w:adjustRightInd w:val="0"/>
              <w:rPr>
                <w:rFonts w:ascii="Adobe Garamond Pro" w:hAnsi="Adobe Garamond Pro" w:cs="Tahoma"/>
                <w:sz w:val="22"/>
                <w:szCs w:val="22"/>
              </w:rPr>
            </w:pPr>
            <w:r w:rsidRPr="008B18EF">
              <w:rPr>
                <w:rFonts w:ascii="Adobe Garamond Pro" w:hAnsi="Adobe Garamond Pro" w:cs="Tahoma"/>
                <w:color w:val="000000"/>
                <w:sz w:val="22"/>
                <w:szCs w:val="22"/>
              </w:rPr>
              <w:t>Remember the importance of historical and expired sales. They provide a snapshot of what price consumers were willing to pay and what they were not for comparable properties. This data can be used to support a CMA.</w:t>
            </w:r>
          </w:p>
          <w:p w:rsidR="00DC66E8" w:rsidRPr="008B18EF" w:rsidRDefault="00DC66E8" w:rsidP="00F533CB">
            <w:pPr>
              <w:tabs>
                <w:tab w:val="left" w:pos="1800"/>
              </w:tabs>
              <w:autoSpaceDE w:val="0"/>
              <w:autoSpaceDN w:val="0"/>
              <w:adjustRightInd w:val="0"/>
              <w:rPr>
                <w:rFonts w:ascii="Adobe Garamond Pro" w:hAnsi="Adobe Garamond Pro"/>
                <w:sz w:val="22"/>
                <w:szCs w:val="22"/>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361</w:t>
            </w:r>
          </w:p>
        </w:tc>
        <w:tc>
          <w:tcPr>
            <w:tcW w:w="3600"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ADDED margin note</w:t>
            </w:r>
          </w:p>
        </w:tc>
        <w:tc>
          <w:tcPr>
            <w:tcW w:w="3869" w:type="dxa"/>
          </w:tcPr>
          <w:p w:rsidR="00DC66E8" w:rsidRPr="008B18EF" w:rsidRDefault="00DC66E8" w:rsidP="00F533CB">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cs="Tahoma"/>
                <w:color w:val="000000"/>
                <w:sz w:val="22"/>
                <w:szCs w:val="22"/>
              </w:rPr>
              <w:t>Remember that when you communicate a value to a customer or client to back it up with data and statistics that is easy for the client or customer to understand and that supports your conclusion.</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p. 533, Glossary</w:t>
            </w:r>
          </w:p>
        </w:tc>
        <w:tc>
          <w:tcPr>
            <w:tcW w:w="3600" w:type="dxa"/>
          </w:tcPr>
          <w:p w:rsidR="00DC66E8" w:rsidRDefault="00DC66E8" w:rsidP="00F533CB">
            <w:pPr>
              <w:tabs>
                <w:tab w:val="left" w:pos="1800"/>
              </w:tabs>
              <w:autoSpaceDE w:val="0"/>
              <w:autoSpaceDN w:val="0"/>
              <w:adjustRightInd w:val="0"/>
              <w:rPr>
                <w:rFonts w:ascii="Times New Roman" w:hAnsi="Times New Roman"/>
              </w:rPr>
            </w:pPr>
            <w:r>
              <w:rPr>
                <w:rFonts w:ascii="Times New Roman" w:hAnsi="Times New Roman"/>
              </w:rPr>
              <w:t>Added “designated managing broker”</w:t>
            </w:r>
          </w:p>
        </w:tc>
        <w:tc>
          <w:tcPr>
            <w:tcW w:w="3869" w:type="dxa"/>
          </w:tcPr>
          <w:p w:rsidR="00DC66E8" w:rsidRPr="008B18EF" w:rsidRDefault="00DC66E8" w:rsidP="00DC66E8">
            <w:pPr>
              <w:tabs>
                <w:tab w:val="left" w:pos="1800"/>
              </w:tabs>
              <w:autoSpaceDE w:val="0"/>
              <w:autoSpaceDN w:val="0"/>
              <w:adjustRightInd w:val="0"/>
              <w:rPr>
                <w:rFonts w:ascii="Adobe Garamond Pro" w:hAnsi="Adobe Garamond Pro"/>
                <w:b/>
                <w:sz w:val="22"/>
                <w:szCs w:val="22"/>
              </w:rPr>
            </w:pPr>
            <w:r w:rsidRPr="008B18EF">
              <w:rPr>
                <w:rFonts w:ascii="Adobe Garamond Pro" w:hAnsi="Adobe Garamond Pro"/>
                <w:b/>
                <w:sz w:val="22"/>
                <w:szCs w:val="22"/>
              </w:rPr>
              <w:t>designated managing broker</w:t>
            </w:r>
          </w:p>
          <w:p w:rsidR="00DC66E8" w:rsidRPr="008B18EF" w:rsidRDefault="00DC66E8" w:rsidP="00DC66E8">
            <w:pPr>
              <w:tabs>
                <w:tab w:val="left" w:pos="1800"/>
              </w:tabs>
              <w:autoSpaceDE w:val="0"/>
              <w:autoSpaceDN w:val="0"/>
              <w:adjustRightInd w:val="0"/>
              <w:rPr>
                <w:rFonts w:ascii="Adobe Garamond Pro" w:hAnsi="Adobe Garamond Pro"/>
                <w:sz w:val="22"/>
                <w:szCs w:val="22"/>
              </w:rPr>
            </w:pPr>
            <w:r w:rsidRPr="008B18EF">
              <w:rPr>
                <w:rFonts w:ascii="Adobe Garamond Pro" w:hAnsi="Adobe Garamond Pro"/>
                <w:sz w:val="22"/>
                <w:szCs w:val="22"/>
              </w:rPr>
              <w:t>Managing broker appointed by the sponsoring broker to have supervisory responsibilities and who is registered with the Department</w:t>
            </w: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r w:rsidR="00DC66E8" w:rsidRPr="00B261C9" w:rsidTr="00F533CB">
        <w:trPr>
          <w:trHeight w:val="150"/>
          <w:jc w:val="center"/>
        </w:trPr>
        <w:tc>
          <w:tcPr>
            <w:tcW w:w="2609" w:type="dxa"/>
          </w:tcPr>
          <w:p w:rsidR="00DC66E8" w:rsidRDefault="00DC66E8" w:rsidP="00F533CB">
            <w:pPr>
              <w:tabs>
                <w:tab w:val="left" w:pos="1800"/>
              </w:tabs>
              <w:autoSpaceDE w:val="0"/>
              <w:autoSpaceDN w:val="0"/>
              <w:adjustRightInd w:val="0"/>
              <w:rPr>
                <w:rFonts w:ascii="Times New Roman" w:hAnsi="Times New Roman"/>
              </w:rPr>
            </w:pPr>
          </w:p>
        </w:tc>
        <w:tc>
          <w:tcPr>
            <w:tcW w:w="3600" w:type="dxa"/>
          </w:tcPr>
          <w:p w:rsidR="00DC66E8" w:rsidRDefault="00DC66E8" w:rsidP="00F533CB">
            <w:pPr>
              <w:tabs>
                <w:tab w:val="left" w:pos="1800"/>
              </w:tabs>
              <w:autoSpaceDE w:val="0"/>
              <w:autoSpaceDN w:val="0"/>
              <w:adjustRightInd w:val="0"/>
              <w:rPr>
                <w:rFonts w:ascii="Times New Roman" w:hAnsi="Times New Roman"/>
              </w:rPr>
            </w:pPr>
          </w:p>
        </w:tc>
        <w:tc>
          <w:tcPr>
            <w:tcW w:w="3869" w:type="dxa"/>
          </w:tcPr>
          <w:p w:rsidR="00DC66E8" w:rsidRDefault="00DC66E8" w:rsidP="00F533CB">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7E2E0E">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7E2E0E" w:rsidP="0094174A">
    <w:pPr>
      <w:pStyle w:val="Header"/>
      <w:jc w:val="right"/>
      <w:rPr>
        <w:rFonts w:ascii="Arial" w:hAnsi="Arial" w:cs="Arial"/>
        <w:i/>
        <w:sz w:val="20"/>
        <w:szCs w:val="20"/>
      </w:rPr>
    </w:pPr>
    <w:r>
      <w:rPr>
        <w:rFonts w:ascii="Arial" w:hAnsi="Arial" w:cs="Arial"/>
        <w:i/>
        <w:sz w:val="20"/>
        <w:szCs w:val="20"/>
      </w:rPr>
      <w:t>Modern Real Estate Practice in Illinois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6FDB"/>
    <w:multiLevelType w:val="hybridMultilevel"/>
    <w:tmpl w:val="49FFA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23D93"/>
    <w:rsid w:val="000632A6"/>
    <w:rsid w:val="00097E04"/>
    <w:rsid w:val="000D144B"/>
    <w:rsid w:val="001159C0"/>
    <w:rsid w:val="00173F59"/>
    <w:rsid w:val="001B1E7E"/>
    <w:rsid w:val="00270A20"/>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7E2E0E"/>
    <w:rsid w:val="00857219"/>
    <w:rsid w:val="008B18EF"/>
    <w:rsid w:val="00927FB5"/>
    <w:rsid w:val="0094174A"/>
    <w:rsid w:val="0099521C"/>
    <w:rsid w:val="00A2442F"/>
    <w:rsid w:val="00A410F8"/>
    <w:rsid w:val="00A54C6C"/>
    <w:rsid w:val="00AB5671"/>
    <w:rsid w:val="00AD6786"/>
    <w:rsid w:val="00AF33C8"/>
    <w:rsid w:val="00B261C9"/>
    <w:rsid w:val="00B4617B"/>
    <w:rsid w:val="00BF3FA6"/>
    <w:rsid w:val="00CD3B00"/>
    <w:rsid w:val="00D00B2E"/>
    <w:rsid w:val="00D15438"/>
    <w:rsid w:val="00D70BAC"/>
    <w:rsid w:val="00D815DC"/>
    <w:rsid w:val="00DC66E8"/>
    <w:rsid w:val="00DE2E72"/>
    <w:rsid w:val="00E04CE3"/>
    <w:rsid w:val="00E76CEE"/>
    <w:rsid w:val="00E9614D"/>
    <w:rsid w:val="00EF5DF7"/>
    <w:rsid w:val="00F000E2"/>
    <w:rsid w:val="00F3307B"/>
    <w:rsid w:val="00F533C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B29A2"/>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Jody Manderfeld</cp:lastModifiedBy>
  <cp:revision>20</cp:revision>
  <cp:lastPrinted>2006-08-18T16:15:00Z</cp:lastPrinted>
  <dcterms:created xsi:type="dcterms:W3CDTF">2013-12-12T15:31:00Z</dcterms:created>
  <dcterms:modified xsi:type="dcterms:W3CDTF">2020-07-30T16:09:00Z</dcterms:modified>
</cp:coreProperties>
</file>