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F59" w:rsidRPr="0094174A" w:rsidRDefault="004F1FBD" w:rsidP="0094174A">
      <w:pPr>
        <w:jc w:val="center"/>
        <w:rPr>
          <w:rFonts w:ascii="Arial" w:hAnsi="Arial" w:cs="Arial"/>
          <w:b/>
          <w:sz w:val="32"/>
          <w:szCs w:val="32"/>
        </w:rPr>
      </w:pPr>
      <w:r>
        <w:rPr>
          <w:rFonts w:ascii="Arial" w:hAnsi="Arial" w:cs="Arial"/>
          <w:b/>
          <w:sz w:val="32"/>
          <w:szCs w:val="32"/>
        </w:rPr>
        <w:t>Errata</w:t>
      </w:r>
    </w:p>
    <w:p w:rsidR="00173F59" w:rsidRDefault="00173F59" w:rsidP="00173F59">
      <w:pPr>
        <w:rPr>
          <w:rFonts w:ascii="Times New Roman" w:hAnsi="Times New Roman"/>
        </w:rPr>
      </w:pPr>
    </w:p>
    <w:p w:rsidR="0094174A" w:rsidRPr="007C0232" w:rsidRDefault="0094174A" w:rsidP="00173F59">
      <w:pPr>
        <w:rPr>
          <w:rFonts w:ascii="Times New Roman" w:hAnsi="Times New Roman"/>
        </w:rPr>
      </w:pPr>
    </w:p>
    <w:p w:rsidR="00173F59" w:rsidRPr="007C0232" w:rsidRDefault="00173F59" w:rsidP="00173F59">
      <w:pPr>
        <w:rPr>
          <w:rFonts w:ascii="Times New Roman" w:hAnsi="Times New Roman"/>
          <w:b/>
        </w:rPr>
      </w:pPr>
      <w:r w:rsidRPr="007C0232">
        <w:rPr>
          <w:rFonts w:ascii="Times New Roman" w:hAnsi="Times New Roman"/>
        </w:rPr>
        <w:t xml:space="preserve">At Dearborn™ Real Estate Education, we are proud of our reputation for providing the most complete, current, and accurate information in all our products. We are committed to ensuring the kind of quality you rely on. Please note the following changes, which will be reflected in the next printing of </w:t>
      </w:r>
      <w:r w:rsidR="00296CFC" w:rsidRPr="00296CFC">
        <w:rPr>
          <w:rFonts w:ascii="Times New Roman" w:hAnsi="Times New Roman"/>
          <w:i/>
        </w:rPr>
        <w:t xml:space="preserve">Illinois Required Broker Post-Licensing </w:t>
      </w:r>
      <w:r w:rsidR="00F80D36">
        <w:rPr>
          <w:rFonts w:ascii="Times New Roman" w:hAnsi="Times New Roman"/>
          <w:i/>
        </w:rPr>
        <w:t>Risk Management/Discipline</w:t>
      </w:r>
      <w:r w:rsidR="00296CFC" w:rsidRPr="00296CFC">
        <w:rPr>
          <w:rFonts w:ascii="Times New Roman" w:hAnsi="Times New Roman"/>
          <w:i/>
        </w:rPr>
        <w:t>, First Edition</w:t>
      </w:r>
      <w:r w:rsidRPr="007C0232">
        <w:rPr>
          <w:rFonts w:ascii="Times New Roman" w:hAnsi="Times New Roman"/>
        </w:rPr>
        <w:t xml:space="preserve">. </w:t>
      </w:r>
    </w:p>
    <w:p w:rsidR="00173F59" w:rsidRDefault="00173F59" w:rsidP="00173F59">
      <w:pPr>
        <w:tabs>
          <w:tab w:val="left" w:pos="1800"/>
        </w:tabs>
        <w:autoSpaceDE w:val="0"/>
        <w:autoSpaceDN w:val="0"/>
        <w:adjustRightInd w:val="0"/>
        <w:rPr>
          <w:rFonts w:ascii="Times New Roman" w:hAnsi="Times New Roman"/>
          <w:b/>
        </w:rPr>
      </w:pPr>
    </w:p>
    <w:p w:rsidR="00D00B2E" w:rsidRDefault="00D00B2E" w:rsidP="00173F59">
      <w:pPr>
        <w:tabs>
          <w:tab w:val="left" w:pos="1800"/>
        </w:tabs>
        <w:autoSpaceDE w:val="0"/>
        <w:autoSpaceDN w:val="0"/>
        <w:adjustRightInd w:val="0"/>
        <w:rPr>
          <w:rFonts w:ascii="Times New Roman" w:hAnsi="Times New Roman"/>
        </w:rPr>
      </w:pPr>
      <w:r>
        <w:rPr>
          <w:rFonts w:ascii="Times New Roman" w:hAnsi="Times New Roman"/>
        </w:rPr>
        <w:t>To use this document, you will need to know which revision of the book you have. The revision is indicated on the copyright page, which is on the second page of the book.</w:t>
      </w:r>
    </w:p>
    <w:p w:rsidR="00D00B2E" w:rsidRDefault="00D00B2E" w:rsidP="00173F59">
      <w:pPr>
        <w:tabs>
          <w:tab w:val="left" w:pos="1800"/>
        </w:tabs>
        <w:autoSpaceDE w:val="0"/>
        <w:autoSpaceDN w:val="0"/>
        <w:adjustRightInd w:val="0"/>
        <w:rPr>
          <w:rFonts w:ascii="Times New Roman" w:hAnsi="Times New Roman"/>
        </w:rPr>
      </w:pPr>
    </w:p>
    <w:p w:rsidR="00D00B2E" w:rsidRPr="00D00B2E" w:rsidRDefault="00D00B2E" w:rsidP="00173F59">
      <w:pPr>
        <w:tabs>
          <w:tab w:val="left" w:pos="1800"/>
        </w:tabs>
        <w:autoSpaceDE w:val="0"/>
        <w:autoSpaceDN w:val="0"/>
        <w:adjustRightInd w:val="0"/>
        <w:rPr>
          <w:rFonts w:ascii="Times New Roman" w:hAnsi="Times New Roman"/>
        </w:rPr>
      </w:pPr>
      <w:r>
        <w:rPr>
          <w:noProof/>
        </w:rPr>
        <w:drawing>
          <wp:inline distT="0" distB="0" distL="0" distR="0" wp14:anchorId="73C6CFC0" wp14:editId="66B9D081">
            <wp:extent cx="5943600" cy="2390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390140"/>
                    </a:xfrm>
                    <a:prstGeom prst="rect">
                      <a:avLst/>
                    </a:prstGeom>
                  </pic:spPr>
                </pic:pic>
              </a:graphicData>
            </a:graphic>
          </wp:inline>
        </w:drawing>
      </w:r>
    </w:p>
    <w:p w:rsidR="00B261C9" w:rsidRPr="007C0232" w:rsidRDefault="00B261C9" w:rsidP="00173F59">
      <w:pPr>
        <w:tabs>
          <w:tab w:val="left" w:pos="1800"/>
        </w:tabs>
        <w:autoSpaceDE w:val="0"/>
        <w:autoSpaceDN w:val="0"/>
        <w:adjustRightInd w:val="0"/>
        <w:rPr>
          <w:rFonts w:ascii="Times New Roman" w:hAnsi="Times New Roman"/>
          <w:b/>
        </w:rPr>
      </w:pPr>
    </w:p>
    <w:tbl>
      <w:tblPr>
        <w:tblW w:w="52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58"/>
        <w:gridCol w:w="3202"/>
        <w:gridCol w:w="3244"/>
      </w:tblGrid>
      <w:tr w:rsidR="00B261C9" w:rsidRPr="00B261C9" w:rsidTr="00F80D36">
        <w:trPr>
          <w:trHeight w:val="144"/>
          <w:jc w:val="center"/>
        </w:trPr>
        <w:tc>
          <w:tcPr>
            <w:tcW w:w="3358" w:type="dxa"/>
            <w:shd w:val="clear" w:color="auto" w:fill="CCFFCC"/>
          </w:tcPr>
          <w:p w:rsidR="00B261C9" w:rsidRPr="00B261C9" w:rsidRDefault="00B261C9" w:rsidP="00B261C9">
            <w:pPr>
              <w:tabs>
                <w:tab w:val="left" w:pos="1800"/>
              </w:tabs>
              <w:autoSpaceDE w:val="0"/>
              <w:autoSpaceDN w:val="0"/>
              <w:adjustRightInd w:val="0"/>
              <w:jc w:val="center"/>
              <w:rPr>
                <w:rFonts w:ascii="Times New Roman" w:hAnsi="Times New Roman"/>
                <w:b/>
              </w:rPr>
            </w:pPr>
            <w:r w:rsidRPr="00B261C9">
              <w:rPr>
                <w:rFonts w:ascii="Times New Roman" w:hAnsi="Times New Roman"/>
                <w:b/>
              </w:rPr>
              <w:t>Page/Location</w:t>
            </w:r>
          </w:p>
        </w:tc>
        <w:tc>
          <w:tcPr>
            <w:tcW w:w="3202" w:type="dxa"/>
            <w:shd w:val="clear" w:color="auto" w:fill="CCFFCC"/>
          </w:tcPr>
          <w:p w:rsidR="00B261C9" w:rsidRPr="00B261C9" w:rsidRDefault="004F1FBD" w:rsidP="00B261C9">
            <w:pPr>
              <w:tabs>
                <w:tab w:val="left" w:pos="1800"/>
              </w:tabs>
              <w:autoSpaceDE w:val="0"/>
              <w:autoSpaceDN w:val="0"/>
              <w:adjustRightInd w:val="0"/>
              <w:jc w:val="center"/>
              <w:rPr>
                <w:rFonts w:ascii="Times New Roman" w:hAnsi="Times New Roman"/>
                <w:b/>
              </w:rPr>
            </w:pPr>
            <w:r>
              <w:rPr>
                <w:rFonts w:ascii="Times New Roman" w:hAnsi="Times New Roman"/>
                <w:b/>
              </w:rPr>
              <w:t>Reads Now</w:t>
            </w:r>
          </w:p>
        </w:tc>
        <w:tc>
          <w:tcPr>
            <w:tcW w:w="3244" w:type="dxa"/>
            <w:shd w:val="clear" w:color="auto" w:fill="CCFFCC"/>
          </w:tcPr>
          <w:p w:rsidR="00B261C9" w:rsidRPr="00B261C9" w:rsidRDefault="004F1FBD" w:rsidP="00B261C9">
            <w:pPr>
              <w:tabs>
                <w:tab w:val="left" w:pos="1800"/>
              </w:tabs>
              <w:autoSpaceDE w:val="0"/>
              <w:autoSpaceDN w:val="0"/>
              <w:adjustRightInd w:val="0"/>
              <w:jc w:val="center"/>
              <w:rPr>
                <w:rFonts w:ascii="Times New Roman" w:hAnsi="Times New Roman"/>
                <w:b/>
              </w:rPr>
            </w:pPr>
            <w:r>
              <w:rPr>
                <w:rFonts w:ascii="Times New Roman" w:hAnsi="Times New Roman"/>
                <w:b/>
              </w:rPr>
              <w:t>Should Be</w:t>
            </w:r>
          </w:p>
        </w:tc>
      </w:tr>
      <w:tr w:rsidR="00B261C9" w:rsidRPr="00B261C9" w:rsidTr="00F80D36">
        <w:trPr>
          <w:trHeight w:val="150"/>
          <w:jc w:val="center"/>
        </w:trPr>
        <w:tc>
          <w:tcPr>
            <w:tcW w:w="3358" w:type="dxa"/>
          </w:tcPr>
          <w:p w:rsidR="00B261C9" w:rsidRPr="00AF33C8" w:rsidRDefault="00F80D36" w:rsidP="00B261C9">
            <w:pPr>
              <w:tabs>
                <w:tab w:val="left" w:pos="1800"/>
              </w:tabs>
              <w:autoSpaceDE w:val="0"/>
              <w:autoSpaceDN w:val="0"/>
              <w:adjustRightInd w:val="0"/>
              <w:rPr>
                <w:rFonts w:ascii="Times New Roman" w:hAnsi="Times New Roman"/>
              </w:rPr>
            </w:pPr>
            <w:r>
              <w:rPr>
                <w:rFonts w:ascii="Times New Roman" w:hAnsi="Times New Roman"/>
              </w:rPr>
              <w:t>p. 20/3</w:t>
            </w:r>
            <w:r w:rsidRPr="00F80D36">
              <w:rPr>
                <w:rFonts w:ascii="Times New Roman" w:hAnsi="Times New Roman"/>
                <w:vertAlign w:val="superscript"/>
              </w:rPr>
              <w:t>rd</w:t>
            </w:r>
            <w:r>
              <w:rPr>
                <w:rFonts w:ascii="Times New Roman" w:hAnsi="Times New Roman"/>
              </w:rPr>
              <w:t xml:space="preserve"> paragraph</w:t>
            </w:r>
          </w:p>
        </w:tc>
        <w:tc>
          <w:tcPr>
            <w:tcW w:w="3202" w:type="dxa"/>
          </w:tcPr>
          <w:p w:rsidR="00B261C9" w:rsidRPr="00AF33C8" w:rsidRDefault="00F80D36" w:rsidP="00F80D36">
            <w:pPr>
              <w:tabs>
                <w:tab w:val="left" w:pos="1800"/>
              </w:tabs>
              <w:autoSpaceDE w:val="0"/>
              <w:autoSpaceDN w:val="0"/>
              <w:adjustRightInd w:val="0"/>
              <w:rPr>
                <w:rFonts w:ascii="Times New Roman" w:hAnsi="Times New Roman"/>
              </w:rPr>
            </w:pPr>
            <w:r w:rsidRPr="00F80D36">
              <w:rPr>
                <w:rFonts w:ascii="Adobe Garamond Pro" w:hAnsi="Adobe Garamond Pro"/>
                <w:color w:val="211D1E"/>
                <w:sz w:val="22"/>
                <w:szCs w:val="22"/>
              </w:rPr>
              <w:t>The sponsoring broker must complete a Consent to Examine and Audit Special Accounts form for each account and each financial institution and must file these forms with the Illinois Department of Financial and Professional Regulation.</w:t>
            </w:r>
          </w:p>
        </w:tc>
        <w:tc>
          <w:tcPr>
            <w:tcW w:w="3244" w:type="dxa"/>
          </w:tcPr>
          <w:p w:rsidR="00B261C9" w:rsidRPr="00AF33C8" w:rsidRDefault="00F80D36" w:rsidP="00F80D36">
            <w:pPr>
              <w:tabs>
                <w:tab w:val="left" w:pos="1800"/>
              </w:tabs>
              <w:autoSpaceDE w:val="0"/>
              <w:autoSpaceDN w:val="0"/>
              <w:adjustRightInd w:val="0"/>
              <w:rPr>
                <w:rFonts w:ascii="Times New Roman" w:hAnsi="Times New Roman"/>
              </w:rPr>
            </w:pPr>
            <w:r w:rsidRPr="00F80D36">
              <w:rPr>
                <w:rFonts w:ascii="Adobe Garamond Pro" w:hAnsi="Adobe Garamond Pro"/>
                <w:color w:val="211D1E"/>
                <w:sz w:val="22"/>
                <w:szCs w:val="22"/>
              </w:rPr>
              <w:t>The sponsoring broker must complete a Consent to Examine and Audit Special Accounts form for each account and each financial institution and must file these forms with the Illinois Department of Financial and Professional Regulation</w:t>
            </w:r>
            <w:r>
              <w:rPr>
                <w:rFonts w:ascii="Adobe Garamond Pro" w:hAnsi="Adobe Garamond Pro"/>
                <w:color w:val="211D1E"/>
                <w:sz w:val="22"/>
                <w:szCs w:val="22"/>
              </w:rPr>
              <w:t xml:space="preserve"> </w:t>
            </w:r>
            <w:r>
              <w:rPr>
                <w:rFonts w:ascii="Adobe Garamond Pro" w:hAnsi="Adobe Garamond Pro"/>
                <w:color w:val="FF0000"/>
                <w:sz w:val="22"/>
                <w:szCs w:val="22"/>
              </w:rPr>
              <w:t>the Division of Real Estate</w:t>
            </w:r>
            <w:r w:rsidRPr="00F80D36">
              <w:rPr>
                <w:rFonts w:ascii="Adobe Garamond Pro" w:hAnsi="Adobe Garamond Pro"/>
                <w:color w:val="211D1E"/>
                <w:sz w:val="22"/>
                <w:szCs w:val="22"/>
              </w:rPr>
              <w:t>.</w:t>
            </w:r>
          </w:p>
        </w:tc>
      </w:tr>
      <w:tr w:rsidR="00F80D36" w:rsidRPr="00B261C9" w:rsidTr="00F80D36">
        <w:trPr>
          <w:trHeight w:val="150"/>
          <w:jc w:val="center"/>
        </w:trPr>
        <w:tc>
          <w:tcPr>
            <w:tcW w:w="3358" w:type="dxa"/>
          </w:tcPr>
          <w:p w:rsidR="00F80D36" w:rsidRDefault="00F80D36" w:rsidP="00B261C9">
            <w:pPr>
              <w:tabs>
                <w:tab w:val="left" w:pos="1800"/>
              </w:tabs>
              <w:autoSpaceDE w:val="0"/>
              <w:autoSpaceDN w:val="0"/>
              <w:adjustRightInd w:val="0"/>
              <w:rPr>
                <w:rFonts w:ascii="Times New Roman" w:hAnsi="Times New Roman"/>
              </w:rPr>
            </w:pPr>
            <w:r>
              <w:rPr>
                <w:rFonts w:ascii="Times New Roman" w:hAnsi="Times New Roman"/>
              </w:rPr>
              <w:t>p. 20/Sponsored Licensee Responsibility</w:t>
            </w:r>
          </w:p>
        </w:tc>
        <w:tc>
          <w:tcPr>
            <w:tcW w:w="3202" w:type="dxa"/>
          </w:tcPr>
          <w:p w:rsidR="00F80D36" w:rsidRPr="00F80D36" w:rsidRDefault="00F80D36" w:rsidP="00F80D36">
            <w:pPr>
              <w:tabs>
                <w:tab w:val="left" w:pos="1800"/>
              </w:tabs>
              <w:autoSpaceDE w:val="0"/>
              <w:autoSpaceDN w:val="0"/>
              <w:adjustRightInd w:val="0"/>
              <w:rPr>
                <w:rFonts w:ascii="Adobe Garamond Pro" w:hAnsi="Adobe Garamond Pro"/>
                <w:color w:val="211D1E"/>
                <w:sz w:val="22"/>
                <w:szCs w:val="22"/>
              </w:rPr>
            </w:pPr>
            <w:r w:rsidRPr="00F80D36">
              <w:rPr>
                <w:rFonts w:ascii="Adobe Garamond Pro" w:hAnsi="Adobe Garamond Pro"/>
                <w:color w:val="211D1E"/>
                <w:sz w:val="22"/>
                <w:szCs w:val="22"/>
              </w:rPr>
              <w:t>A sponsoring broker may delegate the bookkeeping duties for escrow accounts to another person, including a managing broker, bookkeeper, certified public accountant, unlicensed personal assistant, licensed personal assistant, or sponsored licensee.</w:t>
            </w:r>
          </w:p>
        </w:tc>
        <w:tc>
          <w:tcPr>
            <w:tcW w:w="3244" w:type="dxa"/>
          </w:tcPr>
          <w:p w:rsidR="00F80D36" w:rsidRPr="00F80D36" w:rsidRDefault="00F80D36" w:rsidP="00F80D36">
            <w:pPr>
              <w:tabs>
                <w:tab w:val="left" w:pos="1800"/>
              </w:tabs>
              <w:autoSpaceDE w:val="0"/>
              <w:autoSpaceDN w:val="0"/>
              <w:adjustRightInd w:val="0"/>
              <w:rPr>
                <w:rFonts w:ascii="Adobe Garamond Pro" w:hAnsi="Adobe Garamond Pro"/>
                <w:color w:val="211D1E"/>
                <w:sz w:val="22"/>
                <w:szCs w:val="22"/>
              </w:rPr>
            </w:pPr>
            <w:r w:rsidRPr="00F80D36">
              <w:rPr>
                <w:rFonts w:ascii="Adobe Garamond Pro" w:hAnsi="Adobe Garamond Pro"/>
                <w:color w:val="211D1E"/>
                <w:sz w:val="22"/>
                <w:szCs w:val="22"/>
              </w:rPr>
              <w:t xml:space="preserve">A sponsoring broker may delegate the bookkeeping duties for escrow accounts to another person, including a </w:t>
            </w:r>
            <w:r>
              <w:rPr>
                <w:rFonts w:ascii="Adobe Garamond Pro" w:hAnsi="Adobe Garamond Pro"/>
                <w:color w:val="FF0000"/>
                <w:sz w:val="22"/>
                <w:szCs w:val="22"/>
              </w:rPr>
              <w:t xml:space="preserve">designated </w:t>
            </w:r>
            <w:r w:rsidRPr="00F80D36">
              <w:rPr>
                <w:rFonts w:ascii="Adobe Garamond Pro" w:hAnsi="Adobe Garamond Pro"/>
                <w:color w:val="211D1E"/>
                <w:sz w:val="22"/>
                <w:szCs w:val="22"/>
              </w:rPr>
              <w:t>managing broker, bookkeeper, certified public accountant, unlicensed personal assistant, licensed personal assistant, or sponsored licensee.</w:t>
            </w:r>
          </w:p>
        </w:tc>
      </w:tr>
      <w:tr w:rsidR="00F80D36" w:rsidRPr="00B261C9" w:rsidTr="00F80D36">
        <w:trPr>
          <w:trHeight w:val="150"/>
          <w:jc w:val="center"/>
        </w:trPr>
        <w:tc>
          <w:tcPr>
            <w:tcW w:w="3358" w:type="dxa"/>
          </w:tcPr>
          <w:p w:rsidR="00F80D36" w:rsidRDefault="00F80D36" w:rsidP="00B261C9">
            <w:pPr>
              <w:tabs>
                <w:tab w:val="left" w:pos="1800"/>
              </w:tabs>
              <w:autoSpaceDE w:val="0"/>
              <w:autoSpaceDN w:val="0"/>
              <w:adjustRightInd w:val="0"/>
              <w:rPr>
                <w:rFonts w:ascii="Times New Roman" w:hAnsi="Times New Roman"/>
              </w:rPr>
            </w:pPr>
            <w:r>
              <w:rPr>
                <w:rFonts w:ascii="Times New Roman" w:hAnsi="Times New Roman"/>
              </w:rPr>
              <w:t>p. 28/Deposit/Disbursement Requirements</w:t>
            </w:r>
          </w:p>
        </w:tc>
        <w:tc>
          <w:tcPr>
            <w:tcW w:w="3202" w:type="dxa"/>
          </w:tcPr>
          <w:p w:rsidR="00F80D36" w:rsidRPr="00F80D36" w:rsidRDefault="00F80D36" w:rsidP="00F80D36">
            <w:pPr>
              <w:tabs>
                <w:tab w:val="left" w:pos="1800"/>
              </w:tabs>
              <w:autoSpaceDE w:val="0"/>
              <w:autoSpaceDN w:val="0"/>
              <w:adjustRightInd w:val="0"/>
              <w:rPr>
                <w:rFonts w:ascii="Adobe Garamond Pro" w:hAnsi="Adobe Garamond Pro"/>
                <w:color w:val="211D1E"/>
                <w:sz w:val="22"/>
                <w:szCs w:val="22"/>
              </w:rPr>
            </w:pPr>
            <w:r w:rsidRPr="00F80D36">
              <w:rPr>
                <w:rFonts w:ascii="Adobe Garamond Pro" w:hAnsi="Adobe Garamond Pro"/>
                <w:color w:val="211D1E"/>
                <w:sz w:val="22"/>
                <w:szCs w:val="22"/>
              </w:rPr>
              <w:t xml:space="preserve">All escrow moneys accepted by a sponsoring/managing broker </w:t>
            </w:r>
            <w:r w:rsidRPr="00F80D36">
              <w:rPr>
                <w:rFonts w:ascii="Adobe Garamond Pro" w:hAnsi="Adobe Garamond Pro"/>
                <w:color w:val="211D1E"/>
                <w:sz w:val="22"/>
                <w:szCs w:val="22"/>
              </w:rPr>
              <w:lastRenderedPageBreak/>
              <w:t>must be placed in the sponsoring broker’s escrow account not later than the next business day following the transaction.</w:t>
            </w:r>
          </w:p>
        </w:tc>
        <w:tc>
          <w:tcPr>
            <w:tcW w:w="3244" w:type="dxa"/>
          </w:tcPr>
          <w:p w:rsidR="00F80D36" w:rsidRPr="00F80D36" w:rsidRDefault="00F80D36" w:rsidP="00F80D36">
            <w:pPr>
              <w:tabs>
                <w:tab w:val="left" w:pos="1800"/>
              </w:tabs>
              <w:autoSpaceDE w:val="0"/>
              <w:autoSpaceDN w:val="0"/>
              <w:adjustRightInd w:val="0"/>
              <w:rPr>
                <w:rFonts w:ascii="Adobe Garamond Pro" w:hAnsi="Adobe Garamond Pro"/>
                <w:color w:val="211D1E"/>
                <w:sz w:val="22"/>
                <w:szCs w:val="22"/>
              </w:rPr>
            </w:pPr>
            <w:r w:rsidRPr="00F80D36">
              <w:rPr>
                <w:rFonts w:ascii="Adobe Garamond Pro" w:hAnsi="Adobe Garamond Pro"/>
                <w:color w:val="211D1E"/>
                <w:sz w:val="22"/>
                <w:szCs w:val="22"/>
              </w:rPr>
              <w:lastRenderedPageBreak/>
              <w:t>All escrow moneys accepted by a sponsoring/</w:t>
            </w:r>
            <w:r>
              <w:rPr>
                <w:rFonts w:ascii="Adobe Garamond Pro" w:hAnsi="Adobe Garamond Pro"/>
                <w:color w:val="FF0000"/>
                <w:sz w:val="22"/>
                <w:szCs w:val="22"/>
              </w:rPr>
              <w:t xml:space="preserve">designated </w:t>
            </w:r>
            <w:r w:rsidRPr="00F80D36">
              <w:rPr>
                <w:rFonts w:ascii="Adobe Garamond Pro" w:hAnsi="Adobe Garamond Pro"/>
                <w:color w:val="211D1E"/>
                <w:sz w:val="22"/>
                <w:szCs w:val="22"/>
              </w:rPr>
              <w:t xml:space="preserve">managing </w:t>
            </w:r>
            <w:r w:rsidRPr="00F80D36">
              <w:rPr>
                <w:rFonts w:ascii="Adobe Garamond Pro" w:hAnsi="Adobe Garamond Pro"/>
                <w:color w:val="211D1E"/>
                <w:sz w:val="22"/>
                <w:szCs w:val="22"/>
              </w:rPr>
              <w:lastRenderedPageBreak/>
              <w:t>broker must be placed in the sponsoring broker’s escrow account not later than the next business day following the transaction.</w:t>
            </w:r>
          </w:p>
        </w:tc>
      </w:tr>
      <w:tr w:rsidR="00F80D36" w:rsidRPr="00B261C9" w:rsidTr="00F80D36">
        <w:trPr>
          <w:trHeight w:val="150"/>
          <w:jc w:val="center"/>
        </w:trPr>
        <w:tc>
          <w:tcPr>
            <w:tcW w:w="3358" w:type="dxa"/>
          </w:tcPr>
          <w:p w:rsidR="00F80D36" w:rsidRDefault="00F80D36" w:rsidP="00B261C9">
            <w:pPr>
              <w:tabs>
                <w:tab w:val="left" w:pos="1800"/>
              </w:tabs>
              <w:autoSpaceDE w:val="0"/>
              <w:autoSpaceDN w:val="0"/>
              <w:adjustRightInd w:val="0"/>
              <w:rPr>
                <w:rFonts w:ascii="Times New Roman" w:hAnsi="Times New Roman"/>
              </w:rPr>
            </w:pPr>
            <w:r>
              <w:rPr>
                <w:rFonts w:ascii="Times New Roman" w:hAnsi="Times New Roman"/>
              </w:rPr>
              <w:lastRenderedPageBreak/>
              <w:t>p. 40/Agency</w:t>
            </w:r>
          </w:p>
        </w:tc>
        <w:tc>
          <w:tcPr>
            <w:tcW w:w="3202" w:type="dxa"/>
          </w:tcPr>
          <w:p w:rsidR="00F80D36" w:rsidRPr="00F80D36" w:rsidRDefault="00F80D36" w:rsidP="00F80D36">
            <w:pPr>
              <w:tabs>
                <w:tab w:val="left" w:pos="1800"/>
              </w:tabs>
              <w:autoSpaceDE w:val="0"/>
              <w:autoSpaceDN w:val="0"/>
              <w:adjustRightInd w:val="0"/>
              <w:rPr>
                <w:rFonts w:ascii="Adobe Garamond Pro" w:hAnsi="Adobe Garamond Pro"/>
                <w:color w:val="211D1E"/>
                <w:sz w:val="22"/>
                <w:szCs w:val="22"/>
              </w:rPr>
            </w:pPr>
            <w:r w:rsidRPr="00F80D36">
              <w:rPr>
                <w:rFonts w:ascii="Adobe Garamond Pro" w:hAnsi="Adobe Garamond Pro"/>
                <w:color w:val="211D1E"/>
                <w:sz w:val="22"/>
                <w:szCs w:val="22"/>
              </w:rPr>
              <w:t>The sponsoring/managing broker should establish procedures regarding all transactions in which the sponsoring broker represents a party for reviewing every listing, sales agreement, or lease to check whether the forms are properly completed, all legally required riders are attached, and all disclosures, including agency, have been made.</w:t>
            </w:r>
          </w:p>
        </w:tc>
        <w:tc>
          <w:tcPr>
            <w:tcW w:w="3244" w:type="dxa"/>
          </w:tcPr>
          <w:p w:rsidR="00F80D36" w:rsidRPr="00F80D36" w:rsidRDefault="00F80D36" w:rsidP="00F80D36">
            <w:pPr>
              <w:tabs>
                <w:tab w:val="left" w:pos="1800"/>
              </w:tabs>
              <w:autoSpaceDE w:val="0"/>
              <w:autoSpaceDN w:val="0"/>
              <w:adjustRightInd w:val="0"/>
              <w:rPr>
                <w:rFonts w:ascii="Adobe Garamond Pro" w:hAnsi="Adobe Garamond Pro"/>
                <w:color w:val="211D1E"/>
                <w:sz w:val="22"/>
                <w:szCs w:val="22"/>
              </w:rPr>
            </w:pPr>
            <w:r w:rsidRPr="00F80D36">
              <w:rPr>
                <w:rFonts w:ascii="Adobe Garamond Pro" w:hAnsi="Adobe Garamond Pro"/>
                <w:color w:val="211D1E"/>
                <w:sz w:val="22"/>
                <w:szCs w:val="22"/>
              </w:rPr>
              <w:t>The sponsoring/</w:t>
            </w:r>
            <w:r>
              <w:rPr>
                <w:rFonts w:ascii="Adobe Garamond Pro" w:hAnsi="Adobe Garamond Pro"/>
                <w:color w:val="FF0000"/>
                <w:sz w:val="22"/>
                <w:szCs w:val="22"/>
              </w:rPr>
              <w:t xml:space="preserve">designated </w:t>
            </w:r>
            <w:r w:rsidRPr="00F80D36">
              <w:rPr>
                <w:rFonts w:ascii="Adobe Garamond Pro" w:hAnsi="Adobe Garamond Pro"/>
                <w:color w:val="211D1E"/>
                <w:sz w:val="22"/>
                <w:szCs w:val="22"/>
              </w:rPr>
              <w:t>managing broker should establish procedures regarding all transactions in which the sponsoring broker represents a party for reviewing every listing, sales agreement, or lease to check whether the forms are properly completed, all legally required riders are attached, and all disclosures, including agency, have been made.</w:t>
            </w:r>
          </w:p>
        </w:tc>
      </w:tr>
      <w:tr w:rsidR="00F80D36" w:rsidRPr="00B261C9" w:rsidTr="00F80D36">
        <w:trPr>
          <w:trHeight w:val="150"/>
          <w:jc w:val="center"/>
        </w:trPr>
        <w:tc>
          <w:tcPr>
            <w:tcW w:w="3358" w:type="dxa"/>
          </w:tcPr>
          <w:p w:rsidR="00F80D36" w:rsidRDefault="00F80D36" w:rsidP="00B261C9">
            <w:pPr>
              <w:tabs>
                <w:tab w:val="left" w:pos="1800"/>
              </w:tabs>
              <w:autoSpaceDE w:val="0"/>
              <w:autoSpaceDN w:val="0"/>
              <w:adjustRightInd w:val="0"/>
              <w:rPr>
                <w:rFonts w:ascii="Times New Roman" w:hAnsi="Times New Roman"/>
              </w:rPr>
            </w:pPr>
            <w:r>
              <w:rPr>
                <w:rFonts w:ascii="Times New Roman" w:hAnsi="Times New Roman"/>
              </w:rPr>
              <w:t>p. 40/Agency</w:t>
            </w:r>
          </w:p>
        </w:tc>
        <w:tc>
          <w:tcPr>
            <w:tcW w:w="3202" w:type="dxa"/>
          </w:tcPr>
          <w:p w:rsidR="00F80D36" w:rsidRPr="00F80D36" w:rsidRDefault="00F80D36" w:rsidP="00F80D36">
            <w:pPr>
              <w:tabs>
                <w:tab w:val="left" w:pos="1800"/>
              </w:tabs>
              <w:autoSpaceDE w:val="0"/>
              <w:autoSpaceDN w:val="0"/>
              <w:adjustRightInd w:val="0"/>
              <w:rPr>
                <w:rFonts w:ascii="Adobe Garamond Pro" w:hAnsi="Adobe Garamond Pro"/>
                <w:color w:val="211D1E"/>
                <w:sz w:val="22"/>
                <w:szCs w:val="22"/>
              </w:rPr>
            </w:pPr>
            <w:r w:rsidRPr="00F80D36">
              <w:rPr>
                <w:rFonts w:ascii="Adobe Garamond Pro" w:hAnsi="Adobe Garamond Pro"/>
                <w:color w:val="211D1E"/>
                <w:sz w:val="22"/>
                <w:szCs w:val="22"/>
              </w:rPr>
              <w:t xml:space="preserve">The </w:t>
            </w:r>
            <w:r w:rsidRPr="00F80D36">
              <w:rPr>
                <w:rFonts w:ascii="Adobe Garamond Pro Bold" w:hAnsi="Adobe Garamond Pro Bold" w:cs="Adobe Garamond Pro Bold"/>
                <w:b/>
                <w:bCs/>
                <w:color w:val="211D1E"/>
                <w:sz w:val="22"/>
                <w:szCs w:val="22"/>
              </w:rPr>
              <w:t xml:space="preserve">managing broker </w:t>
            </w:r>
            <w:r w:rsidRPr="00F80D36">
              <w:rPr>
                <w:rFonts w:ascii="Adobe Garamond Pro" w:hAnsi="Adobe Garamond Pro" w:cs="Adobe Garamond Pro"/>
                <w:color w:val="211D1E"/>
                <w:sz w:val="22"/>
                <w:szCs w:val="22"/>
              </w:rPr>
              <w:t>should establish transaction management procedures documented in the policy and procedure manual that provide a step-by-step process for the creation and maintenance of the transaction file.</w:t>
            </w:r>
          </w:p>
        </w:tc>
        <w:tc>
          <w:tcPr>
            <w:tcW w:w="3244" w:type="dxa"/>
          </w:tcPr>
          <w:p w:rsidR="00F80D36" w:rsidRPr="00F80D36" w:rsidRDefault="00F80D36" w:rsidP="00F80D36">
            <w:pPr>
              <w:tabs>
                <w:tab w:val="left" w:pos="1800"/>
              </w:tabs>
              <w:autoSpaceDE w:val="0"/>
              <w:autoSpaceDN w:val="0"/>
              <w:adjustRightInd w:val="0"/>
              <w:rPr>
                <w:rFonts w:ascii="Adobe Garamond Pro" w:hAnsi="Adobe Garamond Pro"/>
                <w:color w:val="211D1E"/>
                <w:sz w:val="22"/>
                <w:szCs w:val="22"/>
              </w:rPr>
            </w:pPr>
            <w:r w:rsidRPr="00F80D36">
              <w:rPr>
                <w:rFonts w:ascii="Adobe Garamond Pro" w:hAnsi="Adobe Garamond Pro"/>
                <w:color w:val="211D1E"/>
                <w:sz w:val="22"/>
                <w:szCs w:val="22"/>
              </w:rPr>
              <w:t xml:space="preserve">The </w:t>
            </w:r>
            <w:r w:rsidRPr="00F80D36">
              <w:rPr>
                <w:rFonts w:ascii="Adobe Garamond Pro" w:hAnsi="Adobe Garamond Pro"/>
                <w:b/>
                <w:color w:val="FF0000"/>
                <w:sz w:val="22"/>
                <w:szCs w:val="22"/>
              </w:rPr>
              <w:t>designated</w:t>
            </w:r>
            <w:r>
              <w:rPr>
                <w:rFonts w:ascii="Adobe Garamond Pro" w:hAnsi="Adobe Garamond Pro"/>
                <w:color w:val="FF0000"/>
                <w:sz w:val="22"/>
                <w:szCs w:val="22"/>
              </w:rPr>
              <w:t xml:space="preserve"> </w:t>
            </w:r>
            <w:r w:rsidRPr="00F80D36">
              <w:rPr>
                <w:rFonts w:ascii="Adobe Garamond Pro Bold" w:hAnsi="Adobe Garamond Pro Bold" w:cs="Adobe Garamond Pro Bold"/>
                <w:b/>
                <w:bCs/>
                <w:color w:val="211D1E"/>
                <w:sz w:val="22"/>
                <w:szCs w:val="22"/>
              </w:rPr>
              <w:t xml:space="preserve">managing broker </w:t>
            </w:r>
            <w:r w:rsidRPr="00F80D36">
              <w:rPr>
                <w:rFonts w:ascii="Adobe Garamond Pro" w:hAnsi="Adobe Garamond Pro" w:cs="Adobe Garamond Pro"/>
                <w:color w:val="211D1E"/>
                <w:sz w:val="22"/>
                <w:szCs w:val="22"/>
              </w:rPr>
              <w:t>should establish transaction management procedures documented in the policy and procedure manual that provide a step-by-step process for the creation and maintenance of the transaction file.</w:t>
            </w:r>
          </w:p>
        </w:tc>
      </w:tr>
      <w:tr w:rsidR="00F80D36" w:rsidRPr="00B261C9" w:rsidTr="00F80D36">
        <w:trPr>
          <w:trHeight w:val="150"/>
          <w:jc w:val="center"/>
        </w:trPr>
        <w:tc>
          <w:tcPr>
            <w:tcW w:w="3358" w:type="dxa"/>
          </w:tcPr>
          <w:p w:rsidR="00F80D36" w:rsidRDefault="00F80D36" w:rsidP="00B261C9">
            <w:pPr>
              <w:tabs>
                <w:tab w:val="left" w:pos="1800"/>
              </w:tabs>
              <w:autoSpaceDE w:val="0"/>
              <w:autoSpaceDN w:val="0"/>
              <w:adjustRightInd w:val="0"/>
              <w:rPr>
                <w:rFonts w:ascii="Times New Roman" w:hAnsi="Times New Roman"/>
              </w:rPr>
            </w:pPr>
            <w:r>
              <w:rPr>
                <w:rFonts w:ascii="Times New Roman" w:hAnsi="Times New Roman"/>
              </w:rPr>
              <w:t>p. 41/Areas of Competency</w:t>
            </w:r>
          </w:p>
        </w:tc>
        <w:tc>
          <w:tcPr>
            <w:tcW w:w="3202" w:type="dxa"/>
          </w:tcPr>
          <w:p w:rsidR="00F80D36" w:rsidRPr="00F80D36" w:rsidRDefault="00F80D36" w:rsidP="00F80D36">
            <w:pPr>
              <w:tabs>
                <w:tab w:val="left" w:pos="1800"/>
              </w:tabs>
              <w:autoSpaceDE w:val="0"/>
              <w:autoSpaceDN w:val="0"/>
              <w:adjustRightInd w:val="0"/>
              <w:rPr>
                <w:rFonts w:ascii="Adobe Garamond Pro" w:hAnsi="Adobe Garamond Pro"/>
                <w:color w:val="211D1E"/>
                <w:sz w:val="22"/>
                <w:szCs w:val="22"/>
              </w:rPr>
            </w:pPr>
            <w:r w:rsidRPr="00F80D36">
              <w:rPr>
                <w:rFonts w:ascii="Adobe Garamond Pro" w:hAnsi="Adobe Garamond Pro"/>
                <w:color w:val="211D1E"/>
                <w:sz w:val="22"/>
                <w:szCs w:val="22"/>
              </w:rPr>
              <w:t>The sponsoring or managing broker should remind sponsored licensees not to attempt to provide services to consumers that are outside their area of expertise.</w:t>
            </w:r>
          </w:p>
        </w:tc>
        <w:tc>
          <w:tcPr>
            <w:tcW w:w="3244" w:type="dxa"/>
          </w:tcPr>
          <w:p w:rsidR="00F80D36" w:rsidRPr="00F80D36" w:rsidRDefault="00F80D36" w:rsidP="00F80D36">
            <w:pPr>
              <w:tabs>
                <w:tab w:val="left" w:pos="1800"/>
              </w:tabs>
              <w:autoSpaceDE w:val="0"/>
              <w:autoSpaceDN w:val="0"/>
              <w:adjustRightInd w:val="0"/>
              <w:rPr>
                <w:rFonts w:ascii="Adobe Garamond Pro" w:hAnsi="Adobe Garamond Pro"/>
                <w:color w:val="211D1E"/>
                <w:sz w:val="22"/>
                <w:szCs w:val="22"/>
              </w:rPr>
            </w:pPr>
            <w:r w:rsidRPr="00F80D36">
              <w:rPr>
                <w:rFonts w:ascii="Adobe Garamond Pro" w:hAnsi="Adobe Garamond Pro"/>
                <w:color w:val="211D1E"/>
                <w:sz w:val="22"/>
                <w:szCs w:val="22"/>
              </w:rPr>
              <w:t xml:space="preserve">The sponsoring or </w:t>
            </w:r>
            <w:r>
              <w:rPr>
                <w:rFonts w:ascii="Adobe Garamond Pro" w:hAnsi="Adobe Garamond Pro"/>
                <w:color w:val="FF0000"/>
                <w:sz w:val="22"/>
                <w:szCs w:val="22"/>
              </w:rPr>
              <w:t xml:space="preserve">designated </w:t>
            </w:r>
            <w:r w:rsidRPr="00F80D36">
              <w:rPr>
                <w:rFonts w:ascii="Adobe Garamond Pro" w:hAnsi="Adobe Garamond Pro"/>
                <w:color w:val="211D1E"/>
                <w:sz w:val="22"/>
                <w:szCs w:val="22"/>
              </w:rPr>
              <w:t>managing broker should remind sponsored licensees not to attempt to provide services to consumers that are outside their area of expertise.</w:t>
            </w:r>
          </w:p>
        </w:tc>
      </w:tr>
      <w:tr w:rsidR="00F80D36" w:rsidRPr="00B261C9" w:rsidTr="00F80D36">
        <w:trPr>
          <w:trHeight w:val="150"/>
          <w:jc w:val="center"/>
        </w:trPr>
        <w:tc>
          <w:tcPr>
            <w:tcW w:w="3358" w:type="dxa"/>
          </w:tcPr>
          <w:p w:rsidR="00F80D36" w:rsidRDefault="00F80D36" w:rsidP="00B261C9">
            <w:pPr>
              <w:tabs>
                <w:tab w:val="left" w:pos="1800"/>
              </w:tabs>
              <w:autoSpaceDE w:val="0"/>
              <w:autoSpaceDN w:val="0"/>
              <w:adjustRightInd w:val="0"/>
              <w:rPr>
                <w:rFonts w:ascii="Times New Roman" w:hAnsi="Times New Roman"/>
              </w:rPr>
            </w:pPr>
            <w:r>
              <w:rPr>
                <w:rFonts w:ascii="Times New Roman" w:hAnsi="Times New Roman"/>
              </w:rPr>
              <w:t>p. 42/Team Structure/Operation</w:t>
            </w:r>
          </w:p>
        </w:tc>
        <w:tc>
          <w:tcPr>
            <w:tcW w:w="3202" w:type="dxa"/>
          </w:tcPr>
          <w:p w:rsidR="00F80D36" w:rsidRPr="00F80D36" w:rsidRDefault="00F80D36" w:rsidP="00F80D36">
            <w:pPr>
              <w:tabs>
                <w:tab w:val="left" w:pos="1800"/>
              </w:tabs>
              <w:autoSpaceDE w:val="0"/>
              <w:autoSpaceDN w:val="0"/>
              <w:adjustRightInd w:val="0"/>
              <w:rPr>
                <w:rFonts w:ascii="Adobe Garamond Pro" w:hAnsi="Adobe Garamond Pro"/>
                <w:color w:val="211D1E"/>
                <w:sz w:val="22"/>
                <w:szCs w:val="22"/>
              </w:rPr>
            </w:pPr>
            <w:r w:rsidRPr="00F80D36">
              <w:rPr>
                <w:rFonts w:ascii="Adobe Garamond Pro" w:hAnsi="Adobe Garamond Pro"/>
                <w:color w:val="211D1E"/>
                <w:sz w:val="22"/>
                <w:szCs w:val="22"/>
              </w:rPr>
              <w:t>Teams are supervised by the same managing broker and sponsored by the same sponsoring broker as all the other licensees in the office.</w:t>
            </w:r>
          </w:p>
        </w:tc>
        <w:tc>
          <w:tcPr>
            <w:tcW w:w="3244" w:type="dxa"/>
          </w:tcPr>
          <w:p w:rsidR="00F80D36" w:rsidRPr="00F80D36" w:rsidRDefault="00F80D36" w:rsidP="00F80D36">
            <w:pPr>
              <w:tabs>
                <w:tab w:val="left" w:pos="1800"/>
              </w:tabs>
              <w:autoSpaceDE w:val="0"/>
              <w:autoSpaceDN w:val="0"/>
              <w:adjustRightInd w:val="0"/>
              <w:rPr>
                <w:rFonts w:ascii="Adobe Garamond Pro" w:hAnsi="Adobe Garamond Pro"/>
                <w:color w:val="211D1E"/>
                <w:sz w:val="22"/>
                <w:szCs w:val="22"/>
              </w:rPr>
            </w:pPr>
            <w:r w:rsidRPr="00F80D36">
              <w:rPr>
                <w:rFonts w:ascii="Adobe Garamond Pro" w:hAnsi="Adobe Garamond Pro"/>
                <w:color w:val="211D1E"/>
                <w:sz w:val="22"/>
                <w:szCs w:val="22"/>
              </w:rPr>
              <w:t xml:space="preserve">Teams are supervised by the same </w:t>
            </w:r>
            <w:r>
              <w:rPr>
                <w:rFonts w:ascii="Adobe Garamond Pro" w:hAnsi="Adobe Garamond Pro"/>
                <w:color w:val="FF0000"/>
                <w:sz w:val="22"/>
                <w:szCs w:val="22"/>
              </w:rPr>
              <w:t xml:space="preserve">designated </w:t>
            </w:r>
            <w:r w:rsidRPr="00F80D36">
              <w:rPr>
                <w:rFonts w:ascii="Adobe Garamond Pro" w:hAnsi="Adobe Garamond Pro"/>
                <w:color w:val="211D1E"/>
                <w:sz w:val="22"/>
                <w:szCs w:val="22"/>
              </w:rPr>
              <w:t>managing broker and sponsored by the same sponsoring broker as all the other licensees in the office.</w:t>
            </w:r>
          </w:p>
        </w:tc>
      </w:tr>
      <w:tr w:rsidR="00F80D36" w:rsidRPr="00B261C9" w:rsidTr="00F80D36">
        <w:trPr>
          <w:trHeight w:val="150"/>
          <w:jc w:val="center"/>
        </w:trPr>
        <w:tc>
          <w:tcPr>
            <w:tcW w:w="3358" w:type="dxa"/>
          </w:tcPr>
          <w:p w:rsidR="00F80D36" w:rsidRDefault="00F80D36" w:rsidP="00B261C9">
            <w:pPr>
              <w:tabs>
                <w:tab w:val="left" w:pos="1800"/>
              </w:tabs>
              <w:autoSpaceDE w:val="0"/>
              <w:autoSpaceDN w:val="0"/>
              <w:adjustRightInd w:val="0"/>
              <w:rPr>
                <w:rFonts w:ascii="Times New Roman" w:hAnsi="Times New Roman"/>
              </w:rPr>
            </w:pPr>
            <w:r>
              <w:rPr>
                <w:rFonts w:ascii="Times New Roman" w:hAnsi="Times New Roman"/>
              </w:rPr>
              <w:t>p. 43/Written Employment/Independent Contractor Agreements</w:t>
            </w:r>
          </w:p>
        </w:tc>
        <w:tc>
          <w:tcPr>
            <w:tcW w:w="3202" w:type="dxa"/>
          </w:tcPr>
          <w:p w:rsidR="00F80D36" w:rsidRPr="00F80D36" w:rsidRDefault="00F80D36" w:rsidP="00F80D36">
            <w:pPr>
              <w:tabs>
                <w:tab w:val="left" w:pos="1800"/>
              </w:tabs>
              <w:autoSpaceDE w:val="0"/>
              <w:autoSpaceDN w:val="0"/>
              <w:adjustRightInd w:val="0"/>
              <w:rPr>
                <w:rFonts w:ascii="Adobe Garamond Pro" w:hAnsi="Adobe Garamond Pro"/>
                <w:color w:val="211D1E"/>
                <w:sz w:val="22"/>
                <w:szCs w:val="22"/>
              </w:rPr>
            </w:pPr>
            <w:r w:rsidRPr="00F80D36">
              <w:rPr>
                <w:rFonts w:ascii="Adobe Garamond Pro" w:hAnsi="Adobe Garamond Pro"/>
                <w:color w:val="211D1E"/>
                <w:sz w:val="22"/>
                <w:szCs w:val="22"/>
              </w:rPr>
              <w:t>If the sponsoring broker is an entity, there must be a written agreement between the brokerage entity and the managing broker.</w:t>
            </w:r>
          </w:p>
        </w:tc>
        <w:tc>
          <w:tcPr>
            <w:tcW w:w="3244" w:type="dxa"/>
          </w:tcPr>
          <w:p w:rsidR="00F80D36" w:rsidRPr="00F80D36" w:rsidRDefault="00F80D36" w:rsidP="00F80D36">
            <w:pPr>
              <w:tabs>
                <w:tab w:val="left" w:pos="1800"/>
              </w:tabs>
              <w:autoSpaceDE w:val="0"/>
              <w:autoSpaceDN w:val="0"/>
              <w:adjustRightInd w:val="0"/>
              <w:rPr>
                <w:rFonts w:ascii="Adobe Garamond Pro" w:hAnsi="Adobe Garamond Pro"/>
                <w:color w:val="211D1E"/>
                <w:sz w:val="22"/>
                <w:szCs w:val="22"/>
              </w:rPr>
            </w:pPr>
            <w:r w:rsidRPr="00F80D36">
              <w:rPr>
                <w:rFonts w:ascii="Adobe Garamond Pro" w:hAnsi="Adobe Garamond Pro"/>
                <w:color w:val="211D1E"/>
                <w:sz w:val="22"/>
                <w:szCs w:val="22"/>
              </w:rPr>
              <w:t xml:space="preserve">If the sponsoring broker is an entity, there must be a written agreement between the brokerage entity and the </w:t>
            </w:r>
            <w:r>
              <w:rPr>
                <w:rFonts w:ascii="Adobe Garamond Pro" w:hAnsi="Adobe Garamond Pro"/>
                <w:color w:val="FF0000"/>
                <w:sz w:val="22"/>
                <w:szCs w:val="22"/>
              </w:rPr>
              <w:t xml:space="preserve">designated </w:t>
            </w:r>
            <w:bookmarkStart w:id="0" w:name="_GoBack"/>
            <w:bookmarkEnd w:id="0"/>
            <w:r w:rsidRPr="00F80D36">
              <w:rPr>
                <w:rFonts w:ascii="Adobe Garamond Pro" w:hAnsi="Adobe Garamond Pro"/>
                <w:color w:val="211D1E"/>
                <w:sz w:val="22"/>
                <w:szCs w:val="22"/>
              </w:rPr>
              <w:t>managing broker.</w:t>
            </w:r>
          </w:p>
        </w:tc>
      </w:tr>
    </w:tbl>
    <w:p w:rsidR="00173F59" w:rsidRPr="007C0232" w:rsidRDefault="00173F59" w:rsidP="00B261C9">
      <w:pPr>
        <w:tabs>
          <w:tab w:val="left" w:pos="1800"/>
        </w:tabs>
        <w:autoSpaceDE w:val="0"/>
        <w:autoSpaceDN w:val="0"/>
        <w:adjustRightInd w:val="0"/>
        <w:rPr>
          <w:rFonts w:ascii="Times New Roman" w:hAnsi="Times New Roman"/>
        </w:rPr>
      </w:pPr>
    </w:p>
    <w:sectPr w:rsidR="00173F59" w:rsidRPr="007C0232" w:rsidSect="00A54C6C">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CE3" w:rsidRDefault="00E04CE3">
      <w:r>
        <w:separator/>
      </w:r>
    </w:p>
  </w:endnote>
  <w:endnote w:type="continuationSeparator" w:id="0">
    <w:p w:rsidR="00E04CE3" w:rsidRDefault="00E04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altName w:val="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BJNPA B+ Palatino">
    <w:altName w:val="Book Antiqu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Adobe Garamond Pro Bold">
    <w:altName w:val="Adobe Garamond Pro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E72" w:rsidRDefault="00E9614D" w:rsidP="00173F59">
    <w:pPr>
      <w:pStyle w:val="Footer"/>
      <w:framePr w:wrap="around" w:vAnchor="text" w:hAnchor="margin" w:xAlign="right" w:y="1"/>
      <w:rPr>
        <w:rStyle w:val="PageNumber"/>
      </w:rPr>
    </w:pPr>
    <w:r>
      <w:rPr>
        <w:rStyle w:val="PageNumber"/>
      </w:rPr>
      <w:fldChar w:fldCharType="begin"/>
    </w:r>
    <w:r w:rsidR="00DE2E72">
      <w:rPr>
        <w:rStyle w:val="PageNumber"/>
      </w:rPr>
      <w:instrText xml:space="preserve">PAGE  </w:instrText>
    </w:r>
    <w:r>
      <w:rPr>
        <w:rStyle w:val="PageNumber"/>
      </w:rPr>
      <w:fldChar w:fldCharType="end"/>
    </w:r>
  </w:p>
  <w:p w:rsidR="00DE2E72" w:rsidRDefault="00DE2E72" w:rsidP="00173F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AE1" w:rsidRDefault="00414AE1" w:rsidP="00414AE1">
    <w:pPr>
      <w:pStyle w:val="Footer"/>
      <w:tabs>
        <w:tab w:val="clear" w:pos="4320"/>
        <w:tab w:val="clear" w:pos="8640"/>
      </w:tabs>
      <w:ind w:firstLine="360"/>
      <w:jc w:val="right"/>
      <w:rPr>
        <w:rFonts w:ascii="Arial" w:hAnsi="Arial" w:cs="Arial"/>
        <w:sz w:val="20"/>
        <w:szCs w:val="20"/>
      </w:rPr>
    </w:pPr>
    <w:r w:rsidRPr="00D25C2E">
      <w:rPr>
        <w:rFonts w:ascii="Arial" w:hAnsi="Arial" w:cs="Arial"/>
        <w:sz w:val="20"/>
        <w:szCs w:val="20"/>
      </w:rPr>
      <w:t>©201</w:t>
    </w:r>
    <w:r w:rsidR="004F1FBD">
      <w:rPr>
        <w:rFonts w:ascii="Arial" w:hAnsi="Arial" w:cs="Arial"/>
        <w:sz w:val="20"/>
        <w:szCs w:val="20"/>
      </w:rPr>
      <w:t>8</w:t>
    </w:r>
    <w:r w:rsidRPr="00D25C2E">
      <w:rPr>
        <w:rFonts w:ascii="Arial" w:hAnsi="Arial" w:cs="Arial"/>
        <w:sz w:val="20"/>
        <w:szCs w:val="20"/>
      </w:rPr>
      <w:t xml:space="preserve"> Kaplan, Inc.</w:t>
    </w:r>
  </w:p>
  <w:p w:rsidR="00DE2E72" w:rsidRPr="00414AE1" w:rsidRDefault="00414AE1" w:rsidP="00414AE1">
    <w:pPr>
      <w:pStyle w:val="Footer"/>
      <w:tabs>
        <w:tab w:val="clear" w:pos="4320"/>
        <w:tab w:val="clear" w:pos="8640"/>
      </w:tabs>
      <w:ind w:firstLine="360"/>
      <w:jc w:val="right"/>
      <w:rPr>
        <w:rFonts w:ascii="Arial" w:hAnsi="Arial" w:cs="Arial"/>
        <w:sz w:val="20"/>
        <w:szCs w:val="20"/>
      </w:rPr>
    </w:pPr>
    <w:r>
      <w:rPr>
        <w:rFonts w:ascii="Arial" w:hAnsi="Arial" w:cs="Arial"/>
        <w:sz w:val="20"/>
        <w:szCs w:val="20"/>
      </w:rPr>
      <w:t>May be reproduced for educational uses only.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CE3" w:rsidRDefault="00E04CE3">
      <w:r>
        <w:separator/>
      </w:r>
    </w:p>
  </w:footnote>
  <w:footnote w:type="continuationSeparator" w:id="0">
    <w:p w:rsidR="00E04CE3" w:rsidRDefault="00E04C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74A" w:rsidRPr="0094174A" w:rsidRDefault="00296CFC" w:rsidP="0094174A">
    <w:pPr>
      <w:pStyle w:val="Header"/>
      <w:jc w:val="right"/>
      <w:rPr>
        <w:rFonts w:ascii="Arial" w:hAnsi="Arial" w:cs="Arial"/>
        <w:i/>
        <w:sz w:val="20"/>
        <w:szCs w:val="20"/>
      </w:rPr>
    </w:pPr>
    <w:r w:rsidRPr="00296CFC">
      <w:rPr>
        <w:rFonts w:ascii="Arial" w:hAnsi="Arial" w:cs="Arial"/>
        <w:i/>
        <w:sz w:val="20"/>
        <w:szCs w:val="20"/>
      </w:rPr>
      <w:t xml:space="preserve">Illinois Required Broker Post-Licensing </w:t>
    </w:r>
    <w:r w:rsidR="00F80D36">
      <w:rPr>
        <w:rFonts w:ascii="Arial" w:hAnsi="Arial" w:cs="Arial"/>
        <w:i/>
        <w:sz w:val="20"/>
        <w:szCs w:val="20"/>
      </w:rPr>
      <w:t>Risk Management/Discipline</w:t>
    </w:r>
    <w:r w:rsidR="00414AE1" w:rsidRPr="00296CFC">
      <w:rPr>
        <w:rFonts w:ascii="Arial" w:hAnsi="Arial" w:cs="Arial"/>
        <w:i/>
        <w:sz w:val="20"/>
        <w:szCs w:val="20"/>
      </w:rPr>
      <w:t>,</w:t>
    </w:r>
    <w:r w:rsidR="0094174A" w:rsidRPr="00296CFC">
      <w:rPr>
        <w:rFonts w:ascii="Arial" w:hAnsi="Arial" w:cs="Arial"/>
        <w:i/>
        <w:sz w:val="20"/>
        <w:szCs w:val="20"/>
      </w:rPr>
      <w:t xml:space="preserve"> </w:t>
    </w:r>
    <w:r w:rsidRPr="00296CFC">
      <w:rPr>
        <w:rFonts w:ascii="Arial" w:hAnsi="Arial" w:cs="Arial"/>
        <w:i/>
        <w:sz w:val="20"/>
        <w:szCs w:val="20"/>
      </w:rPr>
      <w:t>First Edition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E54D9B6"/>
    <w:multiLevelType w:val="hybridMultilevel"/>
    <w:tmpl w:val="43250B6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66713A10"/>
    <w:multiLevelType w:val="hybridMultilevel"/>
    <w:tmpl w:val="7A0CC0D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8637308"/>
    <w:multiLevelType w:val="hybridMultilevel"/>
    <w:tmpl w:val="86865C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7A0"/>
    <w:rsid w:val="0001414A"/>
    <w:rsid w:val="000632A6"/>
    <w:rsid w:val="00097E04"/>
    <w:rsid w:val="000D144B"/>
    <w:rsid w:val="001159C0"/>
    <w:rsid w:val="00173F59"/>
    <w:rsid w:val="001B1E7E"/>
    <w:rsid w:val="00296CFC"/>
    <w:rsid w:val="002B00B8"/>
    <w:rsid w:val="00356FB2"/>
    <w:rsid w:val="003D4AB7"/>
    <w:rsid w:val="003F134C"/>
    <w:rsid w:val="00400649"/>
    <w:rsid w:val="004147EB"/>
    <w:rsid w:val="00414AE1"/>
    <w:rsid w:val="0044429C"/>
    <w:rsid w:val="004A05EC"/>
    <w:rsid w:val="004F1FBD"/>
    <w:rsid w:val="005B5AB5"/>
    <w:rsid w:val="006217A0"/>
    <w:rsid w:val="0068025B"/>
    <w:rsid w:val="00705BF4"/>
    <w:rsid w:val="007214B0"/>
    <w:rsid w:val="007C0232"/>
    <w:rsid w:val="00927FB5"/>
    <w:rsid w:val="0094174A"/>
    <w:rsid w:val="00964AA3"/>
    <w:rsid w:val="0099521C"/>
    <w:rsid w:val="00A37CDE"/>
    <w:rsid w:val="00A410F8"/>
    <w:rsid w:val="00A54C6C"/>
    <w:rsid w:val="00AB5671"/>
    <w:rsid w:val="00AD6786"/>
    <w:rsid w:val="00AF33C8"/>
    <w:rsid w:val="00B261C9"/>
    <w:rsid w:val="00B4617B"/>
    <w:rsid w:val="00BF3FA6"/>
    <w:rsid w:val="00D00B2E"/>
    <w:rsid w:val="00D15438"/>
    <w:rsid w:val="00D70BAC"/>
    <w:rsid w:val="00D815DC"/>
    <w:rsid w:val="00DE2E72"/>
    <w:rsid w:val="00E04CE3"/>
    <w:rsid w:val="00E76CEE"/>
    <w:rsid w:val="00E9614D"/>
    <w:rsid w:val="00EF5DF7"/>
    <w:rsid w:val="00F000E2"/>
    <w:rsid w:val="00F3307B"/>
    <w:rsid w:val="00F7081F"/>
    <w:rsid w:val="00F80D36"/>
    <w:rsid w:val="00FA7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F15D7C"/>
  <w15:docId w15:val="{EC3B7AD7-A604-4074-A96C-B9DE25DB0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CEE"/>
    <w:rPr>
      <w:rFonts w:ascii="Century Schoolbook" w:hAnsi="Century Schoolbook"/>
      <w:sz w:val="24"/>
      <w:szCs w:val="24"/>
    </w:rPr>
  </w:style>
  <w:style w:type="paragraph" w:styleId="Heading1">
    <w:name w:val="heading 1"/>
    <w:basedOn w:val="Normal"/>
    <w:next w:val="Normal"/>
    <w:qFormat/>
    <w:rsid w:val="00E76CEE"/>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46113"/>
    <w:pPr>
      <w:tabs>
        <w:tab w:val="center" w:pos="4320"/>
        <w:tab w:val="right" w:pos="8640"/>
      </w:tabs>
    </w:pPr>
  </w:style>
  <w:style w:type="character" w:styleId="PageNumber">
    <w:name w:val="page number"/>
    <w:basedOn w:val="DefaultParagraphFont"/>
    <w:rsid w:val="00346113"/>
  </w:style>
  <w:style w:type="paragraph" w:styleId="Header">
    <w:name w:val="header"/>
    <w:basedOn w:val="Normal"/>
    <w:rsid w:val="009B7141"/>
    <w:pPr>
      <w:tabs>
        <w:tab w:val="center" w:pos="4320"/>
        <w:tab w:val="right" w:pos="8640"/>
      </w:tabs>
    </w:pPr>
  </w:style>
  <w:style w:type="paragraph" w:styleId="BalloonText">
    <w:name w:val="Balloon Text"/>
    <w:basedOn w:val="Normal"/>
    <w:semiHidden/>
    <w:rsid w:val="00D142A8"/>
    <w:rPr>
      <w:rFonts w:ascii="Tahoma" w:hAnsi="Tahoma" w:cs="Tahoma"/>
      <w:sz w:val="16"/>
      <w:szCs w:val="16"/>
    </w:rPr>
  </w:style>
  <w:style w:type="paragraph" w:customStyle="1" w:styleId="Default">
    <w:name w:val="Default"/>
    <w:rsid w:val="007C0232"/>
    <w:pPr>
      <w:widowControl w:val="0"/>
      <w:autoSpaceDE w:val="0"/>
      <w:autoSpaceDN w:val="0"/>
      <w:adjustRightInd w:val="0"/>
    </w:pPr>
    <w:rPr>
      <w:rFonts w:ascii="Helvetica" w:hAnsi="Helvetica"/>
      <w:color w:val="000000"/>
      <w:sz w:val="24"/>
      <w:szCs w:val="24"/>
    </w:rPr>
  </w:style>
  <w:style w:type="paragraph" w:customStyle="1" w:styleId="CM16">
    <w:name w:val="CM16"/>
    <w:basedOn w:val="Default"/>
    <w:next w:val="Default"/>
    <w:rsid w:val="007C0232"/>
    <w:pPr>
      <w:spacing w:after="273"/>
    </w:pPr>
    <w:rPr>
      <w:rFonts w:ascii="Times New Roman" w:hAnsi="Times New Roman"/>
      <w:color w:val="auto"/>
    </w:rPr>
  </w:style>
  <w:style w:type="paragraph" w:customStyle="1" w:styleId="CM7">
    <w:name w:val="CM7"/>
    <w:basedOn w:val="Normal"/>
    <w:next w:val="Normal"/>
    <w:rsid w:val="001159C0"/>
    <w:pPr>
      <w:widowControl w:val="0"/>
      <w:autoSpaceDE w:val="0"/>
      <w:autoSpaceDN w:val="0"/>
      <w:adjustRightInd w:val="0"/>
    </w:pPr>
    <w:rPr>
      <w:rFonts w:ascii="BJNPA B+ Palatino" w:eastAsia="Calibri" w:hAnsi="BJNPA B+ Palatino"/>
    </w:rPr>
  </w:style>
  <w:style w:type="character" w:customStyle="1" w:styleId="FooterChar">
    <w:name w:val="Footer Char"/>
    <w:basedOn w:val="DefaultParagraphFont"/>
    <w:link w:val="Footer"/>
    <w:rsid w:val="00414AE1"/>
    <w:rPr>
      <w:rFonts w:ascii="Century Schoolbook" w:hAnsi="Century Schoolbook"/>
      <w:sz w:val="24"/>
      <w:szCs w:val="24"/>
    </w:rPr>
  </w:style>
  <w:style w:type="paragraph" w:styleId="ListParagraph">
    <w:name w:val="List Paragraph"/>
    <w:basedOn w:val="Normal"/>
    <w:uiPriority w:val="34"/>
    <w:qFormat/>
    <w:rsid w:val="00296C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048702">
      <w:bodyDiv w:val="1"/>
      <w:marLeft w:val="0"/>
      <w:marRight w:val="0"/>
      <w:marTop w:val="0"/>
      <w:marBottom w:val="0"/>
      <w:divBdr>
        <w:top w:val="none" w:sz="0" w:space="0" w:color="auto"/>
        <w:left w:val="none" w:sz="0" w:space="0" w:color="auto"/>
        <w:bottom w:val="none" w:sz="0" w:space="0" w:color="auto"/>
        <w:right w:val="none" w:sz="0" w:space="0" w:color="auto"/>
      </w:divBdr>
    </w:div>
    <w:div w:id="188914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609</Words>
  <Characters>3615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Kaplan Professional Education</Company>
  <LinksUpToDate>false</LinksUpToDate>
  <CharactersWithSpaces>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Christopher Kugler</dc:creator>
  <cp:lastModifiedBy>Laura Foreman</cp:lastModifiedBy>
  <cp:revision>3</cp:revision>
  <cp:lastPrinted>2006-08-18T16:15:00Z</cp:lastPrinted>
  <dcterms:created xsi:type="dcterms:W3CDTF">2020-08-14T18:10:00Z</dcterms:created>
  <dcterms:modified xsi:type="dcterms:W3CDTF">2020-08-14T18:29:00Z</dcterms:modified>
</cp:coreProperties>
</file>