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6" w:rsidRDefault="00BF63F6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C32901">
        <w:rPr>
          <w:rFonts w:ascii="Arial" w:hAnsi="Arial" w:cs="Arial"/>
          <w:b/>
          <w:sz w:val="32"/>
          <w:szCs w:val="32"/>
        </w:rPr>
        <w:t>6</w:t>
      </w:r>
    </w:p>
    <w:p w:rsidR="007072D1" w:rsidRDefault="007072D1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Lecture Outline</w:t>
      </w:r>
    </w:p>
    <w:p w:rsidR="0001331B" w:rsidRDefault="0001331B" w:rsidP="0001331B"/>
    <w:p w:rsidR="00AE365F" w:rsidRDefault="00AE365F" w:rsidP="00AE365F"/>
    <w:p w:rsidR="00AE365F" w:rsidRPr="00C32901" w:rsidRDefault="00C32901" w:rsidP="00AE365F">
      <w:pPr>
        <w:rPr>
          <w:b/>
          <w:u w:val="single"/>
        </w:rPr>
      </w:pPr>
      <w:r w:rsidRPr="00C32901">
        <w:rPr>
          <w:b/>
          <w:u w:val="single"/>
        </w:rPr>
        <w:t>LEARNING OBJECTIVES</w:t>
      </w:r>
    </w:p>
    <w:p w:rsidR="00AE365F" w:rsidRDefault="00AE365F" w:rsidP="00AE365F"/>
    <w:p w:rsidR="00E37CC3" w:rsidRDefault="00E37CC3" w:rsidP="00E37CC3">
      <w:r>
        <w:t xml:space="preserve">When </w:t>
      </w:r>
      <w:r w:rsidR="00977B4C">
        <w:t>the student has completed this unit, they will be able to accomplish the following.</w:t>
      </w:r>
    </w:p>
    <w:p w:rsidR="00ED2C55" w:rsidRDefault="00ED2C55" w:rsidP="00E37CC3"/>
    <w:p w:rsidR="00AE365F" w:rsidRDefault="00977B4C" w:rsidP="00B1190D">
      <w:pPr>
        <w:pStyle w:val="ListParagraph"/>
        <w:numPr>
          <w:ilvl w:val="0"/>
          <w:numId w:val="1"/>
        </w:numPr>
      </w:pPr>
      <w:r>
        <w:t>Explain how legal procedures that effect voluntary and involuntary transfers can impact real property values.</w:t>
      </w:r>
    </w:p>
    <w:p w:rsidR="00977B4C" w:rsidRDefault="00977B4C" w:rsidP="00B1190D">
      <w:pPr>
        <w:pStyle w:val="ListParagraph"/>
        <w:numPr>
          <w:ilvl w:val="0"/>
          <w:numId w:val="1"/>
        </w:numPr>
      </w:pPr>
      <w:r>
        <w:t xml:space="preserve">Explain how real property is conveyed during the grantor’s </w:t>
      </w:r>
      <w:proofErr w:type="gramStart"/>
      <w:r>
        <w:t>life and at</w:t>
      </w:r>
      <w:proofErr w:type="gramEnd"/>
      <w:r>
        <w:t xml:space="preserve"> and after the grantor’s death.</w:t>
      </w:r>
    </w:p>
    <w:p w:rsidR="00FA7E13" w:rsidRPr="00FA7E13" w:rsidRDefault="00FA7E13" w:rsidP="00FA7E13">
      <w:pPr>
        <w:pStyle w:val="ListParagraph"/>
        <w:numPr>
          <w:ilvl w:val="0"/>
          <w:numId w:val="1"/>
        </w:numPr>
      </w:pPr>
      <w:r w:rsidRPr="00FA7E13">
        <w:t>Explain typical commercial lease terms and standard residential leasing terms.</w:t>
      </w:r>
    </w:p>
    <w:p w:rsidR="00AE365F" w:rsidRDefault="00AE365F" w:rsidP="00AE365F"/>
    <w:p w:rsidR="00C32901" w:rsidRDefault="00C32901" w:rsidP="00AE365F"/>
    <w:p w:rsidR="00AE365F" w:rsidRPr="00C32901" w:rsidRDefault="00C32901" w:rsidP="00AE365F">
      <w:pPr>
        <w:rPr>
          <w:b/>
          <w:u w:val="single"/>
        </w:rPr>
      </w:pPr>
      <w:r w:rsidRPr="00C32901">
        <w:rPr>
          <w:b/>
          <w:u w:val="single"/>
        </w:rPr>
        <w:t>KEY TERMS</w:t>
      </w:r>
    </w:p>
    <w:p w:rsidR="00977B4C" w:rsidRPr="00977B4C" w:rsidRDefault="00AE365F" w:rsidP="00977B4C">
      <w:r>
        <w:t xml:space="preserve"> </w:t>
      </w:r>
    </w:p>
    <w:p w:rsidR="00977B4C" w:rsidRPr="00977B4C" w:rsidRDefault="00977B4C" w:rsidP="00977B4C">
      <w:proofErr w:type="gramStart"/>
      <w:r w:rsidRPr="00977B4C">
        <w:t>accretion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adverse</w:t>
      </w:r>
      <w:proofErr w:type="gramEnd"/>
      <w:r w:rsidRPr="00977B4C">
        <w:t xml:space="preserve"> possession </w:t>
      </w:r>
    </w:p>
    <w:p w:rsidR="00977B4C" w:rsidRPr="00977B4C" w:rsidRDefault="00977B4C" w:rsidP="00977B4C">
      <w:proofErr w:type="gramStart"/>
      <w:r w:rsidRPr="00977B4C">
        <w:t>appurtenant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area</w:t>
      </w:r>
      <w:proofErr w:type="gramEnd"/>
      <w:r w:rsidRPr="00977B4C">
        <w:t xml:space="preserve"> preference </w:t>
      </w:r>
    </w:p>
    <w:p w:rsidR="00977B4C" w:rsidRPr="00977B4C" w:rsidRDefault="00977B4C" w:rsidP="00977B4C">
      <w:proofErr w:type="gramStart"/>
      <w:r w:rsidRPr="00977B4C">
        <w:t>avulsion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by</w:t>
      </w:r>
      <w:proofErr w:type="gramEnd"/>
      <w:r w:rsidRPr="00977B4C">
        <w:t xml:space="preserve"> operation of law </w:t>
      </w:r>
    </w:p>
    <w:p w:rsidR="00977B4C" w:rsidRPr="00977B4C" w:rsidRDefault="00977B4C" w:rsidP="00977B4C">
      <w:proofErr w:type="gramStart"/>
      <w:r w:rsidRPr="00977B4C">
        <w:t>condemnation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dedication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demand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dominant</w:t>
      </w:r>
      <w:proofErr w:type="gramEnd"/>
      <w:r w:rsidRPr="00977B4C">
        <w:t xml:space="preserve"> estate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by condemnation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by grant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in gross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for light and air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by necessity </w:t>
      </w:r>
    </w:p>
    <w:p w:rsidR="00977B4C" w:rsidRPr="00977B4C" w:rsidRDefault="00977B4C" w:rsidP="00977B4C">
      <w:proofErr w:type="gramStart"/>
      <w:r w:rsidRPr="00977B4C">
        <w:t>easement</w:t>
      </w:r>
      <w:proofErr w:type="gramEnd"/>
      <w:r w:rsidRPr="00977B4C">
        <w:t xml:space="preserve"> by prescription </w:t>
      </w:r>
    </w:p>
    <w:p w:rsidR="00977B4C" w:rsidRPr="00977B4C" w:rsidRDefault="00977B4C" w:rsidP="00977B4C">
      <w:proofErr w:type="gramStart"/>
      <w:r w:rsidRPr="00977B4C">
        <w:t>economic</w:t>
      </w:r>
      <w:proofErr w:type="gramEnd"/>
      <w:r w:rsidRPr="00977B4C">
        <w:t xml:space="preserve"> oversupply </w:t>
      </w:r>
    </w:p>
    <w:p w:rsidR="00977B4C" w:rsidRPr="00977B4C" w:rsidRDefault="00977B4C" w:rsidP="00977B4C">
      <w:proofErr w:type="gramStart"/>
      <w:r w:rsidRPr="00977B4C">
        <w:t>erosion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foreclosure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gift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grant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inter</w:t>
      </w:r>
      <w:proofErr w:type="gramEnd"/>
      <w:r w:rsidRPr="00977B4C">
        <w:t xml:space="preserve"> </w:t>
      </w:r>
      <w:proofErr w:type="spellStart"/>
      <w:r w:rsidRPr="00977B4C">
        <w:t>vivos</w:t>
      </w:r>
      <w:proofErr w:type="spellEnd"/>
      <w:r w:rsidRPr="00977B4C">
        <w:t xml:space="preserve"> trust </w:t>
      </w:r>
    </w:p>
    <w:p w:rsidR="00977B4C" w:rsidRPr="00977B4C" w:rsidRDefault="00977B4C" w:rsidP="00977B4C">
      <w:proofErr w:type="gramStart"/>
      <w:r w:rsidRPr="00977B4C">
        <w:t>intestate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irrevocable</w:t>
      </w:r>
      <w:proofErr w:type="gramEnd"/>
      <w:r w:rsidRPr="00977B4C">
        <w:t xml:space="preserve"> trusts </w:t>
      </w:r>
    </w:p>
    <w:p w:rsidR="00977B4C" w:rsidRPr="00977B4C" w:rsidRDefault="00977B4C" w:rsidP="00977B4C">
      <w:proofErr w:type="gramStart"/>
      <w:r w:rsidRPr="00977B4C">
        <w:t>nonpossessory</w:t>
      </w:r>
      <w:proofErr w:type="gramEnd"/>
      <w:r w:rsidRPr="00977B4C">
        <w:t xml:space="preserve"> rights </w:t>
      </w:r>
    </w:p>
    <w:p w:rsidR="00977B4C" w:rsidRPr="00977B4C" w:rsidRDefault="00977B4C" w:rsidP="00977B4C">
      <w:bookmarkStart w:id="0" w:name="_GoBack"/>
      <w:bookmarkEnd w:id="0"/>
      <w:proofErr w:type="gramStart"/>
      <w:r w:rsidRPr="00977B4C">
        <w:t>partition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party</w:t>
      </w:r>
      <w:proofErr w:type="gramEnd"/>
      <w:r w:rsidRPr="00977B4C">
        <w:t xml:space="preserve"> walls </w:t>
      </w:r>
    </w:p>
    <w:p w:rsidR="00977B4C" w:rsidRPr="00977B4C" w:rsidRDefault="00977B4C" w:rsidP="00977B4C">
      <w:proofErr w:type="gramStart"/>
      <w:r w:rsidRPr="00977B4C">
        <w:t>permanence</w:t>
      </w:r>
      <w:proofErr w:type="gramEnd"/>
      <w:r w:rsidRPr="00977B4C">
        <w:t xml:space="preserve"> of the investment </w:t>
      </w:r>
    </w:p>
    <w:p w:rsidR="00977B4C" w:rsidRPr="00977B4C" w:rsidRDefault="00977B4C" w:rsidP="00977B4C">
      <w:proofErr w:type="gramStart"/>
      <w:r w:rsidRPr="00977B4C">
        <w:lastRenderedPageBreak/>
        <w:t>possessory</w:t>
      </w:r>
      <w:proofErr w:type="gramEnd"/>
      <w:r w:rsidRPr="00977B4C">
        <w:t xml:space="preserve"> rights </w:t>
      </w:r>
    </w:p>
    <w:p w:rsidR="00977B4C" w:rsidRPr="00977B4C" w:rsidRDefault="00977B4C" w:rsidP="00977B4C">
      <w:proofErr w:type="gramStart"/>
      <w:r w:rsidRPr="00977B4C">
        <w:t>real</w:t>
      </w:r>
      <w:proofErr w:type="gramEnd"/>
      <w:r w:rsidRPr="00977B4C">
        <w:t xml:space="preserve"> estate investment trust (REIT) </w:t>
      </w:r>
    </w:p>
    <w:p w:rsidR="00977B4C" w:rsidRPr="00977B4C" w:rsidRDefault="00977B4C" w:rsidP="00977B4C">
      <w:proofErr w:type="gramStart"/>
      <w:r w:rsidRPr="00977B4C">
        <w:t>reversionary</w:t>
      </w:r>
      <w:proofErr w:type="gramEnd"/>
      <w:r w:rsidRPr="00977B4C">
        <w:t xml:space="preserve"> interest </w:t>
      </w:r>
    </w:p>
    <w:p w:rsidR="00977B4C" w:rsidRPr="00977B4C" w:rsidRDefault="00977B4C" w:rsidP="00977B4C">
      <w:proofErr w:type="gramStart"/>
      <w:r w:rsidRPr="00977B4C">
        <w:t>sale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scarcity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servient</w:t>
      </w:r>
      <w:proofErr w:type="gramEnd"/>
      <w:r w:rsidRPr="00977B4C">
        <w:t xml:space="preserve"> estate </w:t>
      </w:r>
    </w:p>
    <w:p w:rsidR="00977B4C" w:rsidRPr="00977B4C" w:rsidRDefault="00977B4C" w:rsidP="00977B4C">
      <w:proofErr w:type="gramStart"/>
      <w:r w:rsidRPr="00977B4C">
        <w:t>situs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tacking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technical</w:t>
      </w:r>
      <w:proofErr w:type="gramEnd"/>
      <w:r w:rsidRPr="00977B4C">
        <w:t xml:space="preserve"> oversupply </w:t>
      </w:r>
    </w:p>
    <w:p w:rsidR="00977B4C" w:rsidRPr="00977B4C" w:rsidRDefault="00977B4C" w:rsidP="00977B4C">
      <w:proofErr w:type="gramStart"/>
      <w:r w:rsidRPr="00977B4C">
        <w:t>testate</w:t>
      </w:r>
      <w:proofErr w:type="gramEnd"/>
      <w:r w:rsidRPr="00977B4C">
        <w:t xml:space="preserve"> </w:t>
      </w:r>
    </w:p>
    <w:p w:rsidR="00977B4C" w:rsidRPr="00977B4C" w:rsidRDefault="00977B4C" w:rsidP="00977B4C">
      <w:proofErr w:type="gramStart"/>
      <w:r w:rsidRPr="00977B4C">
        <w:t>transferability</w:t>
      </w:r>
      <w:proofErr w:type="gramEnd"/>
      <w:r w:rsidRPr="00977B4C">
        <w:t xml:space="preserve"> </w:t>
      </w:r>
    </w:p>
    <w:p w:rsidR="00AE365F" w:rsidRDefault="00977B4C" w:rsidP="00977B4C">
      <w:proofErr w:type="gramStart"/>
      <w:r w:rsidRPr="00977B4C">
        <w:t>utility</w:t>
      </w:r>
      <w:proofErr w:type="gramEnd"/>
      <w:r>
        <w:rPr>
          <w:rFonts w:cs="Source Sans Pro"/>
          <w:color w:val="211D1E"/>
          <w:sz w:val="20"/>
          <w:szCs w:val="20"/>
        </w:rPr>
        <w:t xml:space="preserve"> </w:t>
      </w:r>
    </w:p>
    <w:p w:rsidR="00AE365F" w:rsidRDefault="00AE365F" w:rsidP="00AE365F"/>
    <w:p w:rsidR="00AE365F" w:rsidRDefault="00AE365F" w:rsidP="00AE365F"/>
    <w:p w:rsidR="00AE365F" w:rsidRPr="00C32901" w:rsidRDefault="00C32901" w:rsidP="00AE365F">
      <w:pPr>
        <w:rPr>
          <w:b/>
          <w:u w:val="single"/>
        </w:rPr>
      </w:pPr>
      <w:r>
        <w:rPr>
          <w:b/>
          <w:u w:val="single"/>
        </w:rPr>
        <w:t>LECTURE OUTLINE</w:t>
      </w:r>
    </w:p>
    <w:p w:rsidR="00AE365F" w:rsidRDefault="00AE365F" w:rsidP="00AE365F"/>
    <w:p w:rsidR="00FA7E13" w:rsidRPr="00FA7E13" w:rsidRDefault="00FA7E13" w:rsidP="00977B4C">
      <w:pPr>
        <w:rPr>
          <w:b/>
        </w:rPr>
      </w:pPr>
      <w:r w:rsidRPr="00FA7E13">
        <w:rPr>
          <w:b/>
        </w:rPr>
        <w:t>I.</w:t>
      </w:r>
      <w:r w:rsidRPr="00FA7E13">
        <w:rPr>
          <w:b/>
        </w:rPr>
        <w:tab/>
        <w:t>TYPICAL COMMERCIAL LEASE TERMS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Net lease</w:t>
      </w:r>
      <w:r>
        <w:t>/triple net lease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Gross lease/modified gross lease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Percentage lease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Other lease types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Sublease/assignment clause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B0288D">
        <w:t>Exclusive right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4E39C9">
        <w:t>Exclusive-right-to-sell listin</w:t>
      </w:r>
      <w:r>
        <w:t>g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4E39C9">
        <w:t>Exclusive-right-to-lease listing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Lease escalation clauses</w:t>
      </w:r>
    </w:p>
    <w:p w:rsidR="00D67913" w:rsidRPr="00E8055E" w:rsidRDefault="00D67913" w:rsidP="00D67913">
      <w:pPr>
        <w:pStyle w:val="ListParagraph"/>
        <w:numPr>
          <w:ilvl w:val="1"/>
          <w:numId w:val="3"/>
        </w:numPr>
      </w:pPr>
      <w:r w:rsidRPr="00E8055E">
        <w:t>History and purpose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06351B">
        <w:t>Proportionate share/occupancy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06351B">
        <w:t>Operating/real estate tax stop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06351B">
        <w:t>Real property tax clause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06351B">
        <w:t>Direct operating escalation clause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06351B">
        <w:t>Fringe benefits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06351B">
        <w:t>Fixed-percentage increases</w:t>
      </w:r>
    </w:p>
    <w:p w:rsidR="00D67913" w:rsidRDefault="00D67913" w:rsidP="00D67913">
      <w:pPr>
        <w:pStyle w:val="ListParagraph"/>
        <w:numPr>
          <w:ilvl w:val="0"/>
          <w:numId w:val="2"/>
        </w:numPr>
      </w:pPr>
      <w:r w:rsidRPr="00E8055E">
        <w:t>Consumer price index (CPI)</w:t>
      </w:r>
    </w:p>
    <w:p w:rsidR="00FA7E13" w:rsidRDefault="00FA7E13" w:rsidP="00977B4C">
      <w:pPr>
        <w:rPr>
          <w:b/>
        </w:rPr>
      </w:pPr>
    </w:p>
    <w:p w:rsidR="00D67913" w:rsidRDefault="00D67913" w:rsidP="00977B4C">
      <w:pPr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D67913">
        <w:rPr>
          <w:b/>
        </w:rPr>
        <w:t>STANDARD RESIDENTIAL LEASING TERMS</w:t>
      </w:r>
    </w:p>
    <w:p w:rsidR="00D67913" w:rsidRDefault="00D67913" w:rsidP="00977B4C">
      <w:pPr>
        <w:rPr>
          <w:b/>
        </w:rPr>
      </w:pPr>
    </w:p>
    <w:p w:rsidR="00977B4C" w:rsidRDefault="00D67913" w:rsidP="00977B4C">
      <w:pPr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977B4C">
        <w:rPr>
          <w:b/>
        </w:rPr>
        <w:t>CHARACTERISTICS OF VALUE</w:t>
      </w:r>
    </w:p>
    <w:p w:rsidR="00977B4C" w:rsidRDefault="00977B4C" w:rsidP="00D67913">
      <w:pPr>
        <w:pStyle w:val="ListParagraph"/>
        <w:numPr>
          <w:ilvl w:val="0"/>
          <w:numId w:val="6"/>
        </w:numPr>
      </w:pPr>
      <w:r>
        <w:t>Economic characteristics of value</w:t>
      </w:r>
    </w:p>
    <w:p w:rsidR="00D67913" w:rsidRDefault="00D67913" w:rsidP="00D67913">
      <w:pPr>
        <w:pStyle w:val="ListParagraph"/>
        <w:numPr>
          <w:ilvl w:val="0"/>
          <w:numId w:val="7"/>
        </w:numPr>
      </w:pPr>
      <w:r>
        <w:t>Relative scarcity</w:t>
      </w:r>
    </w:p>
    <w:p w:rsidR="00D67913" w:rsidRDefault="00D67913" w:rsidP="00D67913">
      <w:pPr>
        <w:pStyle w:val="ListParagraph"/>
        <w:numPr>
          <w:ilvl w:val="0"/>
          <w:numId w:val="7"/>
        </w:numPr>
      </w:pPr>
      <w:r>
        <w:t>Improvements</w:t>
      </w:r>
    </w:p>
    <w:p w:rsidR="00D67913" w:rsidRDefault="00D67913" w:rsidP="00D67913">
      <w:pPr>
        <w:pStyle w:val="ListParagraph"/>
        <w:numPr>
          <w:ilvl w:val="0"/>
          <w:numId w:val="7"/>
        </w:numPr>
      </w:pPr>
      <w:r>
        <w:t>Permanence of investment</w:t>
      </w:r>
    </w:p>
    <w:p w:rsidR="00D67913" w:rsidRDefault="00D67913" w:rsidP="00D67913">
      <w:pPr>
        <w:pStyle w:val="ListParagraph"/>
        <w:numPr>
          <w:ilvl w:val="0"/>
          <w:numId w:val="7"/>
        </w:numPr>
      </w:pPr>
      <w:r>
        <w:t>Area preference</w:t>
      </w:r>
    </w:p>
    <w:p w:rsidR="00977B4C" w:rsidRDefault="00977B4C" w:rsidP="00D67913">
      <w:pPr>
        <w:pStyle w:val="ListParagraph"/>
        <w:numPr>
          <w:ilvl w:val="0"/>
          <w:numId w:val="6"/>
        </w:numPr>
      </w:pPr>
      <w:r>
        <w:t>Physical characteristics of value</w:t>
      </w:r>
    </w:p>
    <w:p w:rsidR="00D67913" w:rsidRDefault="00D67913" w:rsidP="00D67913">
      <w:pPr>
        <w:pStyle w:val="ListParagraph"/>
        <w:numPr>
          <w:ilvl w:val="0"/>
          <w:numId w:val="8"/>
        </w:numPr>
      </w:pPr>
      <w:r>
        <w:t>Immobility</w:t>
      </w:r>
    </w:p>
    <w:p w:rsidR="00D67913" w:rsidRDefault="00D67913" w:rsidP="00D67913">
      <w:pPr>
        <w:pStyle w:val="ListParagraph"/>
        <w:numPr>
          <w:ilvl w:val="0"/>
          <w:numId w:val="8"/>
        </w:numPr>
      </w:pPr>
      <w:r>
        <w:t>Indestructibility</w:t>
      </w:r>
    </w:p>
    <w:p w:rsidR="00D67913" w:rsidRDefault="00D67913" w:rsidP="00D67913">
      <w:pPr>
        <w:pStyle w:val="ListParagraph"/>
        <w:numPr>
          <w:ilvl w:val="0"/>
          <w:numId w:val="8"/>
        </w:numPr>
      </w:pPr>
      <w:proofErr w:type="spellStart"/>
      <w:r>
        <w:lastRenderedPageBreak/>
        <w:t>Nonhomogenity</w:t>
      </w:r>
      <w:proofErr w:type="spellEnd"/>
    </w:p>
    <w:p w:rsidR="00977B4C" w:rsidRDefault="00977B4C" w:rsidP="00D67913">
      <w:pPr>
        <w:pStyle w:val="ListParagraph"/>
        <w:numPr>
          <w:ilvl w:val="0"/>
          <w:numId w:val="6"/>
        </w:numPr>
      </w:pPr>
      <w:r>
        <w:t>Four characteristics of value</w:t>
      </w:r>
    </w:p>
    <w:p w:rsidR="00D67913" w:rsidRDefault="00D67913" w:rsidP="00D67913">
      <w:pPr>
        <w:pStyle w:val="ListParagraph"/>
        <w:numPr>
          <w:ilvl w:val="0"/>
          <w:numId w:val="9"/>
        </w:numPr>
      </w:pPr>
      <w:r>
        <w:t>Demand</w:t>
      </w:r>
    </w:p>
    <w:p w:rsidR="00D67913" w:rsidRDefault="00D67913" w:rsidP="00D67913">
      <w:pPr>
        <w:pStyle w:val="ListParagraph"/>
        <w:numPr>
          <w:ilvl w:val="0"/>
          <w:numId w:val="9"/>
        </w:numPr>
      </w:pPr>
      <w:r>
        <w:t>Scarcity</w:t>
      </w:r>
    </w:p>
    <w:p w:rsidR="00D67913" w:rsidRDefault="00D67913" w:rsidP="00D67913">
      <w:pPr>
        <w:pStyle w:val="ListParagraph"/>
        <w:numPr>
          <w:ilvl w:val="0"/>
          <w:numId w:val="9"/>
        </w:numPr>
      </w:pPr>
      <w:r>
        <w:t>Utility</w:t>
      </w:r>
    </w:p>
    <w:p w:rsidR="00D67913" w:rsidRDefault="00D67913" w:rsidP="00D67913">
      <w:pPr>
        <w:pStyle w:val="ListParagraph"/>
        <w:numPr>
          <w:ilvl w:val="0"/>
          <w:numId w:val="9"/>
        </w:numPr>
      </w:pPr>
      <w:r>
        <w:t>Transferability</w:t>
      </w:r>
    </w:p>
    <w:p w:rsidR="00977B4C" w:rsidRDefault="00977B4C" w:rsidP="00977B4C"/>
    <w:p w:rsidR="00977B4C" w:rsidRDefault="00D67913" w:rsidP="00977B4C">
      <w:pPr>
        <w:rPr>
          <w:b/>
        </w:rPr>
      </w:pPr>
      <w:r>
        <w:rPr>
          <w:b/>
        </w:rPr>
        <w:t>IV</w:t>
      </w:r>
      <w:r w:rsidR="00977B4C" w:rsidRPr="00326775">
        <w:rPr>
          <w:b/>
        </w:rPr>
        <w:t>.</w:t>
      </w:r>
      <w:r w:rsidR="00977B4C" w:rsidRPr="00326775">
        <w:rPr>
          <w:b/>
        </w:rPr>
        <w:tab/>
      </w:r>
      <w:r w:rsidR="00977B4C">
        <w:rPr>
          <w:b/>
        </w:rPr>
        <w:t>TRANSFERABILITY</w:t>
      </w:r>
    </w:p>
    <w:p w:rsidR="00977B4C" w:rsidRDefault="00977B4C" w:rsidP="00D67913">
      <w:pPr>
        <w:pStyle w:val="ListParagraph"/>
        <w:numPr>
          <w:ilvl w:val="0"/>
          <w:numId w:val="10"/>
        </w:numPr>
      </w:pPr>
      <w:r>
        <w:t>Voluntary transfers</w:t>
      </w:r>
    </w:p>
    <w:p w:rsidR="00977B4C" w:rsidRDefault="00977B4C" w:rsidP="00D67913">
      <w:pPr>
        <w:pStyle w:val="ListParagraph"/>
        <w:numPr>
          <w:ilvl w:val="1"/>
          <w:numId w:val="10"/>
        </w:numPr>
      </w:pPr>
      <w:r>
        <w:t>Transfers during life</w:t>
      </w:r>
    </w:p>
    <w:p w:rsidR="00977B4C" w:rsidRDefault="00977B4C" w:rsidP="00D67913">
      <w:pPr>
        <w:pStyle w:val="ListParagraph"/>
        <w:numPr>
          <w:ilvl w:val="1"/>
          <w:numId w:val="10"/>
        </w:numPr>
      </w:pPr>
      <w:r>
        <w:t>Transfers after death</w:t>
      </w:r>
    </w:p>
    <w:p w:rsidR="00977B4C" w:rsidRDefault="00977B4C" w:rsidP="00D67913">
      <w:pPr>
        <w:pStyle w:val="ListParagraph"/>
        <w:numPr>
          <w:ilvl w:val="0"/>
          <w:numId w:val="10"/>
        </w:numPr>
      </w:pPr>
      <w:r>
        <w:t>Involuntary transfers</w:t>
      </w:r>
    </w:p>
    <w:p w:rsidR="00977B4C" w:rsidRDefault="00977B4C" w:rsidP="00D67913">
      <w:pPr>
        <w:pStyle w:val="ListParagraph"/>
        <w:numPr>
          <w:ilvl w:val="1"/>
          <w:numId w:val="10"/>
        </w:numPr>
      </w:pPr>
      <w:r>
        <w:t>Transfers during life</w:t>
      </w:r>
    </w:p>
    <w:p w:rsidR="00977B4C" w:rsidRDefault="00977B4C" w:rsidP="00D67913">
      <w:pPr>
        <w:pStyle w:val="ListParagraph"/>
        <w:numPr>
          <w:ilvl w:val="1"/>
          <w:numId w:val="10"/>
        </w:numPr>
      </w:pPr>
      <w:r>
        <w:t>Transfers after death</w:t>
      </w:r>
    </w:p>
    <w:p w:rsidR="00977B4C" w:rsidRDefault="00977B4C" w:rsidP="00D67913">
      <w:pPr>
        <w:pStyle w:val="ListParagraph"/>
        <w:numPr>
          <w:ilvl w:val="0"/>
          <w:numId w:val="10"/>
        </w:numPr>
      </w:pPr>
      <w:r>
        <w:t>Natural processes</w:t>
      </w:r>
    </w:p>
    <w:p w:rsidR="00977B4C" w:rsidRDefault="00977B4C" w:rsidP="00977B4C"/>
    <w:p w:rsidR="00BF63F6" w:rsidRPr="00AC7A5E" w:rsidRDefault="00D67913" w:rsidP="00AE365F">
      <w:pPr>
        <w:rPr>
          <w:b/>
        </w:rPr>
      </w:pPr>
      <w:r>
        <w:rPr>
          <w:b/>
        </w:rPr>
        <w:t>V</w:t>
      </w:r>
      <w:r w:rsidR="00977B4C">
        <w:rPr>
          <w:b/>
        </w:rPr>
        <w:t>.</w:t>
      </w:r>
      <w:r w:rsidR="00977B4C">
        <w:rPr>
          <w:b/>
        </w:rPr>
        <w:tab/>
        <w:t>SUMMARY</w:t>
      </w:r>
    </w:p>
    <w:sectPr w:rsidR="00BF63F6" w:rsidRPr="00AC7A5E" w:rsidSect="002626C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AA" w:rsidRDefault="008D1CAA">
      <w:r>
        <w:separator/>
      </w:r>
    </w:p>
  </w:endnote>
  <w:endnote w:type="continuationSeparator" w:id="0">
    <w:p w:rsidR="008D1CAA" w:rsidRDefault="008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977B4C" w:rsidRPr="00D25C2E">
      <w:rPr>
        <w:rFonts w:ascii="Arial" w:hAnsi="Arial" w:cs="Arial"/>
        <w:sz w:val="20"/>
        <w:szCs w:val="20"/>
      </w:rPr>
      <w:t>20</w:t>
    </w:r>
    <w:r w:rsidR="00FA7E13">
      <w:rPr>
        <w:rFonts w:ascii="Arial" w:hAnsi="Arial" w:cs="Arial"/>
        <w:sz w:val="20"/>
        <w:szCs w:val="20"/>
      </w:rPr>
      <w:t>24</w:t>
    </w:r>
    <w:r w:rsidR="00977B4C" w:rsidRPr="00D25C2E">
      <w:rPr>
        <w:rFonts w:ascii="Arial" w:hAnsi="Arial" w:cs="Arial"/>
        <w:sz w:val="20"/>
        <w:szCs w:val="20"/>
      </w:rPr>
      <w:t xml:space="preserve"> </w:t>
    </w:r>
    <w:r w:rsidRPr="00D25C2E">
      <w:rPr>
        <w:rFonts w:ascii="Arial" w:hAnsi="Arial" w:cs="Arial"/>
        <w:sz w:val="20"/>
        <w:szCs w:val="20"/>
      </w:rPr>
      <w:t>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AA" w:rsidRDefault="008D1CAA">
      <w:r>
        <w:separator/>
      </w:r>
    </w:p>
  </w:footnote>
  <w:footnote w:type="continuationSeparator" w:id="0">
    <w:p w:rsidR="008D1CAA" w:rsidRDefault="008D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77" w:rsidRDefault="00187E77" w:rsidP="00187E77">
    <w:pPr>
      <w:pStyle w:val="Header"/>
      <w:jc w:val="right"/>
      <w:rPr>
        <w:rStyle w:val="PageNumber"/>
        <w:rFonts w:ascii="Arial" w:hAnsi="Arial" w:cs="Arial"/>
        <w:i/>
      </w:rPr>
    </w:pPr>
    <w:r>
      <w:rPr>
        <w:rStyle w:val="PageNumber"/>
        <w:rFonts w:ascii="Arial" w:hAnsi="Arial" w:cs="Arial"/>
        <w:i/>
        <w:sz w:val="20"/>
        <w:szCs w:val="20"/>
      </w:rPr>
      <w:t xml:space="preserve">Modern Real Estate Practice in New York for Brokers, </w:t>
    </w:r>
    <w:r w:rsidR="00977B4C">
      <w:rPr>
        <w:rStyle w:val="PageNumber"/>
        <w:rFonts w:ascii="Arial" w:hAnsi="Arial" w:cs="Arial"/>
        <w:i/>
        <w:sz w:val="20"/>
        <w:szCs w:val="20"/>
      </w:rPr>
      <w:t>1</w:t>
    </w:r>
    <w:r w:rsidR="00FA7E13">
      <w:rPr>
        <w:rStyle w:val="PageNumber"/>
        <w:rFonts w:ascii="Arial" w:hAnsi="Arial" w:cs="Arial"/>
        <w:i/>
        <w:sz w:val="20"/>
        <w:szCs w:val="20"/>
      </w:rPr>
      <w:t>3</w:t>
    </w:r>
    <w:r w:rsidR="00977B4C">
      <w:rPr>
        <w:rStyle w:val="PageNumber"/>
        <w:rFonts w:ascii="Arial" w:hAnsi="Arial" w:cs="Arial"/>
        <w:i/>
        <w:sz w:val="20"/>
        <w:szCs w:val="20"/>
        <w:vertAlign w:val="superscript"/>
      </w:rPr>
      <w:t>th</w:t>
    </w:r>
    <w:r w:rsidR="00977B4C">
      <w:rPr>
        <w:rStyle w:val="PageNumber"/>
        <w:rFonts w:ascii="Arial" w:hAnsi="Arial" w:cs="Arial"/>
        <w:i/>
        <w:sz w:val="20"/>
        <w:szCs w:val="20"/>
      </w:rPr>
      <w:t xml:space="preserve"> </w:t>
    </w:r>
    <w:r>
      <w:rPr>
        <w:rStyle w:val="PageNumber"/>
        <w:rFonts w:ascii="Arial" w:hAnsi="Arial" w:cs="Arial"/>
        <w:i/>
        <w:sz w:val="20"/>
        <w:szCs w:val="20"/>
      </w:rPr>
      <w:t>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60B"/>
    <w:multiLevelType w:val="hybridMultilevel"/>
    <w:tmpl w:val="9F4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C5C"/>
    <w:multiLevelType w:val="hybridMultilevel"/>
    <w:tmpl w:val="AEF0A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9260C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0CD2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BFD"/>
    <w:multiLevelType w:val="multilevel"/>
    <w:tmpl w:val="602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946F69"/>
    <w:multiLevelType w:val="hybridMultilevel"/>
    <w:tmpl w:val="AEF0A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D3D67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B14"/>
    <w:multiLevelType w:val="hybridMultilevel"/>
    <w:tmpl w:val="AEF0A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1F37D3"/>
    <w:multiLevelType w:val="hybridMultilevel"/>
    <w:tmpl w:val="F9E8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08A8"/>
    <w:rsid w:val="000126F0"/>
    <w:rsid w:val="0001331B"/>
    <w:rsid w:val="000164A6"/>
    <w:rsid w:val="0001698C"/>
    <w:rsid w:val="00017844"/>
    <w:rsid w:val="000200B3"/>
    <w:rsid w:val="000261E9"/>
    <w:rsid w:val="000269CF"/>
    <w:rsid w:val="00026BFE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105"/>
    <w:rsid w:val="0005481B"/>
    <w:rsid w:val="00055CB1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1AD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87E77"/>
    <w:rsid w:val="00190938"/>
    <w:rsid w:val="001921D7"/>
    <w:rsid w:val="00193B6D"/>
    <w:rsid w:val="001940AF"/>
    <w:rsid w:val="00194413"/>
    <w:rsid w:val="00195424"/>
    <w:rsid w:val="001A1D65"/>
    <w:rsid w:val="001A71A0"/>
    <w:rsid w:val="001B1667"/>
    <w:rsid w:val="001B35A8"/>
    <w:rsid w:val="001B3AB3"/>
    <w:rsid w:val="001C3851"/>
    <w:rsid w:val="001D0E83"/>
    <w:rsid w:val="001D1F5A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3B7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4712B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B7AC0"/>
    <w:rsid w:val="002C2CFE"/>
    <w:rsid w:val="002C4985"/>
    <w:rsid w:val="002C77AB"/>
    <w:rsid w:val="002D1B7A"/>
    <w:rsid w:val="002E1D11"/>
    <w:rsid w:val="002E3849"/>
    <w:rsid w:val="002E63E7"/>
    <w:rsid w:val="002E73B0"/>
    <w:rsid w:val="002E7BD5"/>
    <w:rsid w:val="002F63B9"/>
    <w:rsid w:val="002F7D68"/>
    <w:rsid w:val="00301FA3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4790A"/>
    <w:rsid w:val="0035196B"/>
    <w:rsid w:val="00353214"/>
    <w:rsid w:val="00353BF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97BCF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C26AC"/>
    <w:rsid w:val="004C5DE7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5411"/>
    <w:rsid w:val="004F7130"/>
    <w:rsid w:val="005001A3"/>
    <w:rsid w:val="00500557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28A2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04CC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0F4C"/>
    <w:rsid w:val="0066173C"/>
    <w:rsid w:val="00663BEB"/>
    <w:rsid w:val="006658F2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522F"/>
    <w:rsid w:val="006F61AA"/>
    <w:rsid w:val="00702D71"/>
    <w:rsid w:val="0070688B"/>
    <w:rsid w:val="007072D1"/>
    <w:rsid w:val="00710101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3FF0"/>
    <w:rsid w:val="0074714B"/>
    <w:rsid w:val="00750323"/>
    <w:rsid w:val="0075160F"/>
    <w:rsid w:val="0075598F"/>
    <w:rsid w:val="007620C5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908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162DD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1CAA"/>
    <w:rsid w:val="008D20AB"/>
    <w:rsid w:val="008D2E02"/>
    <w:rsid w:val="008D3619"/>
    <w:rsid w:val="008D5729"/>
    <w:rsid w:val="008D579B"/>
    <w:rsid w:val="008D6F17"/>
    <w:rsid w:val="008E1893"/>
    <w:rsid w:val="008E27F5"/>
    <w:rsid w:val="008E2E6B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17906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7768F"/>
    <w:rsid w:val="00977B4C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0CC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5AE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124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C7A5E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365F"/>
    <w:rsid w:val="00AE4BFA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659"/>
    <w:rsid w:val="00B05BD3"/>
    <w:rsid w:val="00B1163E"/>
    <w:rsid w:val="00B1190D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47633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63F6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2901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322B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400"/>
    <w:rsid w:val="00CC47F6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6DF4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2B2A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67913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37CC3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64BA6"/>
    <w:rsid w:val="00E65947"/>
    <w:rsid w:val="00E70BC4"/>
    <w:rsid w:val="00E715BC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2C55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2E53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A7E13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F33565C-4C81-49F3-A234-FD79DED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7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character" w:customStyle="1" w:styleId="HeaderChar">
    <w:name w:val="Header Char"/>
    <w:basedOn w:val="DefaultParagraphFont"/>
    <w:link w:val="Header"/>
    <w:rsid w:val="00187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7633"/>
    <w:pPr>
      <w:ind w:left="720"/>
      <w:contextualSpacing/>
    </w:pPr>
  </w:style>
  <w:style w:type="paragraph" w:customStyle="1" w:styleId="Default">
    <w:name w:val="Default"/>
    <w:rsid w:val="00977B4C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977B4C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70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72D1"/>
    <w:rPr>
      <w:rFonts w:ascii="Segoe UI" w:hAnsi="Segoe UI" w:cs="Segoe UI"/>
      <w:sz w:val="18"/>
      <w:szCs w:val="18"/>
    </w:rPr>
  </w:style>
  <w:style w:type="paragraph" w:customStyle="1" w:styleId="Sub-sectionTitleh5">
    <w:name w:val="Sub-section Title (h5)"/>
    <w:basedOn w:val="Heading5"/>
    <w:next w:val="Normal"/>
    <w:link w:val="Sub-sectionTitleh5Char"/>
    <w:qFormat/>
    <w:rsid w:val="00D67913"/>
    <w:pPr>
      <w:spacing w:before="200" w:line="276" w:lineRule="auto"/>
      <w:ind w:left="720"/>
    </w:pPr>
    <w:rPr>
      <w:color w:val="243F60" w:themeColor="accent1" w:themeShade="7F"/>
      <w:sz w:val="22"/>
      <w:szCs w:val="22"/>
    </w:rPr>
  </w:style>
  <w:style w:type="character" w:customStyle="1" w:styleId="Sub-sectionTitleh5Char">
    <w:name w:val="Sub-section Title (h5) Char"/>
    <w:basedOn w:val="Heading5Char"/>
    <w:link w:val="Sub-sectionTitleh5"/>
    <w:rsid w:val="00D6791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D679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DBAB-97B3-4F8C-9A98-D109C62F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Jennifer Brandt</cp:lastModifiedBy>
  <cp:revision>56</cp:revision>
  <dcterms:created xsi:type="dcterms:W3CDTF">2017-01-11T21:15:00Z</dcterms:created>
  <dcterms:modified xsi:type="dcterms:W3CDTF">2023-08-28T16:03:00Z</dcterms:modified>
</cp:coreProperties>
</file>