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6" w:rsidRDefault="00BF63F6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711E7B">
        <w:rPr>
          <w:rFonts w:ascii="Arial" w:hAnsi="Arial" w:cs="Arial"/>
          <w:b/>
          <w:sz w:val="32"/>
          <w:szCs w:val="32"/>
        </w:rPr>
        <w:t>7</w:t>
      </w:r>
    </w:p>
    <w:p w:rsidR="0055489F" w:rsidRDefault="0055489F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Lecture Outline</w:t>
      </w:r>
    </w:p>
    <w:p w:rsidR="0001331B" w:rsidRDefault="0001331B" w:rsidP="0001331B"/>
    <w:p w:rsidR="0001331B" w:rsidRDefault="0001331B" w:rsidP="0001331B"/>
    <w:p w:rsidR="009D7DB9" w:rsidRPr="00711E7B" w:rsidRDefault="00711E7B" w:rsidP="009D7DB9">
      <w:pPr>
        <w:rPr>
          <w:b/>
          <w:u w:val="single"/>
        </w:rPr>
      </w:pPr>
      <w:r>
        <w:rPr>
          <w:b/>
          <w:u w:val="single"/>
        </w:rPr>
        <w:t>LEARNING OBJECTIVES</w:t>
      </w:r>
    </w:p>
    <w:p w:rsidR="009D7DB9" w:rsidRDefault="009D7DB9" w:rsidP="009D7DB9"/>
    <w:p w:rsidR="00E525E9" w:rsidRDefault="00E525E9" w:rsidP="00E525E9">
      <w:r>
        <w:t xml:space="preserve">When </w:t>
      </w:r>
      <w:r w:rsidR="00F13255">
        <w:t>the student has completed this unit, they will be able to accomplish the following.</w:t>
      </w:r>
    </w:p>
    <w:p w:rsidR="009D7DB9" w:rsidRDefault="009D7DB9" w:rsidP="009D7DB9"/>
    <w:p w:rsidR="00F13255" w:rsidRPr="002A07A6" w:rsidRDefault="00F13255" w:rsidP="0055489F">
      <w:pPr>
        <w:pStyle w:val="ListParagraph"/>
        <w:numPr>
          <w:ilvl w:val="0"/>
          <w:numId w:val="1"/>
        </w:numPr>
      </w:pPr>
      <w:r w:rsidRPr="002A07A6">
        <w:t xml:space="preserve">Explain the functions and responsibilities of the property manager and the primary responsibilities of real estate management positions, including site manager, property manager, portfolio manager, and asset manager; how licensees will provide competent and trustworthy property management services by improving and/or preserving the physical property (i.e., its envelop and mechanicals), while improving the property’s net operating income. </w:t>
      </w:r>
    </w:p>
    <w:p w:rsidR="00F13255" w:rsidRPr="002A07A6" w:rsidRDefault="00F13255" w:rsidP="0055489F">
      <w:pPr>
        <w:pStyle w:val="ListParagraph"/>
        <w:numPr>
          <w:ilvl w:val="0"/>
          <w:numId w:val="1"/>
        </w:numPr>
      </w:pPr>
      <w:r w:rsidRPr="002A07A6">
        <w:t xml:space="preserve">Explain rent types and lease clauses. </w:t>
      </w:r>
    </w:p>
    <w:p w:rsidR="00F13255" w:rsidRPr="002A07A6" w:rsidRDefault="00F13255" w:rsidP="0055489F">
      <w:pPr>
        <w:pStyle w:val="ListParagraph"/>
        <w:numPr>
          <w:ilvl w:val="0"/>
          <w:numId w:val="1"/>
        </w:numPr>
      </w:pPr>
      <w:r w:rsidRPr="002A07A6">
        <w:t xml:space="preserve">Explain how a comprehensive understanding of a property’s income and expense statement provides a template for delivering competent and trustworthy property management services. </w:t>
      </w:r>
    </w:p>
    <w:p w:rsidR="009D7DB9" w:rsidRDefault="009D7DB9" w:rsidP="009D7DB9"/>
    <w:p w:rsidR="00711E7B" w:rsidRDefault="00711E7B" w:rsidP="009D7DB9"/>
    <w:p w:rsidR="009D7DB9" w:rsidRPr="00711E7B" w:rsidRDefault="009D7DB9" w:rsidP="009D7DB9">
      <w:pPr>
        <w:rPr>
          <w:b/>
          <w:u w:val="single"/>
        </w:rPr>
      </w:pPr>
      <w:r w:rsidRPr="00711E7B">
        <w:rPr>
          <w:b/>
          <w:u w:val="single"/>
        </w:rPr>
        <w:t>KEY TERMS</w:t>
      </w:r>
    </w:p>
    <w:p w:rsidR="00F13255" w:rsidRPr="002A07A6" w:rsidRDefault="00F13255" w:rsidP="002A07A6"/>
    <w:p w:rsidR="00F13255" w:rsidRPr="002A07A6" w:rsidRDefault="00F13255" w:rsidP="002A07A6">
      <w:proofErr w:type="gramStart"/>
      <w:r w:rsidRPr="002A07A6">
        <w:t>anchor</w:t>
      </w:r>
      <w:proofErr w:type="gramEnd"/>
      <w:r w:rsidRPr="002A07A6">
        <w:t xml:space="preserve"> stores</w:t>
      </w:r>
    </w:p>
    <w:p w:rsidR="00F13255" w:rsidRPr="002A07A6" w:rsidRDefault="00F13255" w:rsidP="002A07A6">
      <w:proofErr w:type="gramStart"/>
      <w:r w:rsidRPr="002A07A6">
        <w:t>boiler</w:t>
      </w:r>
      <w:proofErr w:type="gramEnd"/>
      <w:r w:rsidRPr="002A07A6">
        <w:t xml:space="preserve"> and machinery insurance</w:t>
      </w:r>
    </w:p>
    <w:p w:rsidR="00F13255" w:rsidRPr="002A07A6" w:rsidRDefault="00F13255" w:rsidP="002A07A6">
      <w:proofErr w:type="gramStart"/>
      <w:r w:rsidRPr="002A07A6">
        <w:t>business</w:t>
      </w:r>
      <w:proofErr w:type="gramEnd"/>
      <w:r w:rsidRPr="002A07A6">
        <w:t xml:space="preserve"> interruption insurance</w:t>
      </w:r>
    </w:p>
    <w:p w:rsidR="00F13255" w:rsidRPr="002A07A6" w:rsidRDefault="00F13255" w:rsidP="002A07A6">
      <w:proofErr w:type="gramStart"/>
      <w:r w:rsidRPr="002A07A6">
        <w:t>capital</w:t>
      </w:r>
      <w:proofErr w:type="gramEnd"/>
      <w:r w:rsidRPr="002A07A6">
        <w:t xml:space="preserve"> expenses</w:t>
      </w:r>
    </w:p>
    <w:p w:rsidR="00F13255" w:rsidRPr="002A07A6" w:rsidRDefault="00F13255" w:rsidP="002A07A6">
      <w:proofErr w:type="gramStart"/>
      <w:r w:rsidRPr="002A07A6">
        <w:t>capital</w:t>
      </w:r>
      <w:proofErr w:type="gramEnd"/>
      <w:r w:rsidRPr="002A07A6">
        <w:t xml:space="preserve"> reserve budget</w:t>
      </w:r>
    </w:p>
    <w:p w:rsidR="00F13255" w:rsidRPr="002A07A6" w:rsidRDefault="00F13255" w:rsidP="002A07A6">
      <w:proofErr w:type="gramStart"/>
      <w:r w:rsidRPr="002A07A6">
        <w:t>casualty</w:t>
      </w:r>
      <w:proofErr w:type="gramEnd"/>
      <w:r w:rsidRPr="002A07A6">
        <w:t xml:space="preserve"> insurance</w:t>
      </w:r>
    </w:p>
    <w:p w:rsidR="00F13255" w:rsidRPr="002A07A6" w:rsidRDefault="00F13255" w:rsidP="002A07A6">
      <w:r w:rsidRPr="002A07A6">
        <w:t>Certified Property Manager® (CPM)</w:t>
      </w:r>
    </w:p>
    <w:p w:rsidR="00F13255" w:rsidRPr="002A07A6" w:rsidRDefault="00F13255" w:rsidP="002A07A6">
      <w:proofErr w:type="gramStart"/>
      <w:r w:rsidRPr="002A07A6">
        <w:t>contents</w:t>
      </w:r>
      <w:proofErr w:type="gramEnd"/>
      <w:r w:rsidRPr="002A07A6">
        <w:t xml:space="preserve"> and personal property insurance</w:t>
      </w:r>
    </w:p>
    <w:p w:rsidR="00F13255" w:rsidRPr="002A07A6" w:rsidRDefault="00F13255" w:rsidP="002A07A6">
      <w:proofErr w:type="gramStart"/>
      <w:r w:rsidRPr="002A07A6">
        <w:t>corrective</w:t>
      </w:r>
      <w:proofErr w:type="gramEnd"/>
      <w:r w:rsidRPr="002A07A6">
        <w:t xml:space="preserve"> maintenance</w:t>
      </w:r>
    </w:p>
    <w:p w:rsidR="00F13255" w:rsidRPr="002A07A6" w:rsidRDefault="00F13255" w:rsidP="002A07A6">
      <w:r w:rsidRPr="002A07A6">
        <w:t>Division of Housing and Community Renewal (DHCR)</w:t>
      </w:r>
    </w:p>
    <w:p w:rsidR="00F13255" w:rsidRPr="002A07A6" w:rsidRDefault="00F13255" w:rsidP="002A07A6">
      <w:proofErr w:type="gramStart"/>
      <w:r w:rsidRPr="002A07A6">
        <w:t>fiduciary</w:t>
      </w:r>
      <w:proofErr w:type="gramEnd"/>
    </w:p>
    <w:p w:rsidR="009D7DB9" w:rsidRPr="002A07A6" w:rsidRDefault="00F13255" w:rsidP="002A07A6">
      <w:proofErr w:type="gramStart"/>
      <w:r w:rsidRPr="002A07A6">
        <w:t>fire</w:t>
      </w:r>
      <w:proofErr w:type="gramEnd"/>
      <w:r w:rsidRPr="002A07A6">
        <w:t xml:space="preserve"> and hazard insurance</w:t>
      </w:r>
    </w:p>
    <w:p w:rsidR="00F13255" w:rsidRPr="002A07A6" w:rsidRDefault="00F13255" w:rsidP="002A07A6">
      <w:proofErr w:type="gramStart"/>
      <w:r w:rsidRPr="002A07A6">
        <w:t>general</w:t>
      </w:r>
      <w:proofErr w:type="gramEnd"/>
      <w:r w:rsidRPr="002A07A6">
        <w:t xml:space="preserve"> agent</w:t>
      </w:r>
    </w:p>
    <w:p w:rsidR="00F13255" w:rsidRPr="002A07A6" w:rsidRDefault="00F13255" w:rsidP="002A07A6">
      <w:proofErr w:type="gramStart"/>
      <w:r w:rsidRPr="002A07A6">
        <w:t>household</w:t>
      </w:r>
      <w:proofErr w:type="gramEnd"/>
      <w:r w:rsidRPr="002A07A6">
        <w:t xml:space="preserve"> income</w:t>
      </w:r>
    </w:p>
    <w:p w:rsidR="00F13255" w:rsidRPr="002A07A6" w:rsidRDefault="00F13255" w:rsidP="002A07A6">
      <w:proofErr w:type="gramStart"/>
      <w:r w:rsidRPr="002A07A6">
        <w:t>industrial</w:t>
      </w:r>
      <w:proofErr w:type="gramEnd"/>
      <w:r w:rsidRPr="002A07A6">
        <w:t xml:space="preserve"> property</w:t>
      </w:r>
    </w:p>
    <w:p w:rsidR="00F13255" w:rsidRPr="002A07A6" w:rsidRDefault="00F13255" w:rsidP="002A07A6">
      <w:proofErr w:type="gramStart"/>
      <w:r w:rsidRPr="002A07A6">
        <w:t>lessee</w:t>
      </w:r>
      <w:proofErr w:type="gramEnd"/>
    </w:p>
    <w:p w:rsidR="00F13255" w:rsidRPr="002A07A6" w:rsidRDefault="00F13255" w:rsidP="002A07A6">
      <w:proofErr w:type="gramStart"/>
      <w:r w:rsidRPr="002A07A6">
        <w:t>lessor</w:t>
      </w:r>
      <w:proofErr w:type="gramEnd"/>
    </w:p>
    <w:p w:rsidR="00F13255" w:rsidRPr="002A07A6" w:rsidRDefault="00F13255" w:rsidP="002A07A6">
      <w:proofErr w:type="gramStart"/>
      <w:r w:rsidRPr="002A07A6">
        <w:t>liability</w:t>
      </w:r>
      <w:proofErr w:type="gramEnd"/>
      <w:r w:rsidRPr="002A07A6">
        <w:t xml:space="preserve"> insurance</w:t>
      </w:r>
    </w:p>
    <w:p w:rsidR="00F13255" w:rsidRPr="002A07A6" w:rsidRDefault="00F13255" w:rsidP="002A07A6">
      <w:proofErr w:type="gramStart"/>
      <w:r w:rsidRPr="002A07A6">
        <w:t>management</w:t>
      </w:r>
      <w:proofErr w:type="gramEnd"/>
      <w:r w:rsidRPr="002A07A6">
        <w:t xml:space="preserve"> agreement</w:t>
      </w:r>
    </w:p>
    <w:p w:rsidR="00F13255" w:rsidRPr="002A07A6" w:rsidRDefault="00F13255" w:rsidP="002A07A6">
      <w:proofErr w:type="gramStart"/>
      <w:r w:rsidRPr="002A07A6">
        <w:t>management</w:t>
      </w:r>
      <w:proofErr w:type="gramEnd"/>
      <w:r w:rsidRPr="002A07A6">
        <w:t xml:space="preserve"> proposal</w:t>
      </w:r>
    </w:p>
    <w:p w:rsidR="00F13255" w:rsidRPr="002A07A6" w:rsidRDefault="00F13255" w:rsidP="002A07A6">
      <w:proofErr w:type="gramStart"/>
      <w:r w:rsidRPr="002A07A6">
        <w:t>market</w:t>
      </w:r>
      <w:proofErr w:type="gramEnd"/>
      <w:r w:rsidRPr="002A07A6">
        <w:t xml:space="preserve"> analysis</w:t>
      </w:r>
    </w:p>
    <w:p w:rsidR="00F13255" w:rsidRPr="002A07A6" w:rsidRDefault="00F13255" w:rsidP="002A07A6">
      <w:proofErr w:type="gramStart"/>
      <w:r w:rsidRPr="002A07A6">
        <w:t>maximum</w:t>
      </w:r>
      <w:proofErr w:type="gramEnd"/>
      <w:r w:rsidRPr="002A07A6">
        <w:t xml:space="preserve"> base rent (MBR)</w:t>
      </w:r>
    </w:p>
    <w:p w:rsidR="00F13255" w:rsidRPr="002A07A6" w:rsidRDefault="00F13255" w:rsidP="002A07A6">
      <w:proofErr w:type="spellStart"/>
      <w:proofErr w:type="gramStart"/>
      <w:r w:rsidRPr="002A07A6">
        <w:t>multiperil</w:t>
      </w:r>
      <w:proofErr w:type="spellEnd"/>
      <w:proofErr w:type="gramEnd"/>
      <w:r w:rsidRPr="002A07A6">
        <w:t xml:space="preserve"> policies</w:t>
      </w:r>
    </w:p>
    <w:p w:rsidR="00F13255" w:rsidRPr="002A07A6" w:rsidRDefault="00F13255" w:rsidP="002A07A6">
      <w:proofErr w:type="gramStart"/>
      <w:r w:rsidRPr="002A07A6">
        <w:t>neighborhood</w:t>
      </w:r>
      <w:proofErr w:type="gramEnd"/>
      <w:r w:rsidRPr="002A07A6">
        <w:t xml:space="preserve"> analysis</w:t>
      </w:r>
    </w:p>
    <w:p w:rsidR="00F13255" w:rsidRPr="002A07A6" w:rsidRDefault="00F13255" w:rsidP="002A07A6">
      <w:proofErr w:type="gramStart"/>
      <w:r w:rsidRPr="002A07A6">
        <w:lastRenderedPageBreak/>
        <w:t>office</w:t>
      </w:r>
      <w:proofErr w:type="gramEnd"/>
      <w:r w:rsidRPr="002A07A6">
        <w:t xml:space="preserve"> property</w:t>
      </w:r>
    </w:p>
    <w:p w:rsidR="00F13255" w:rsidRPr="002A07A6" w:rsidRDefault="00F13255" w:rsidP="002A07A6">
      <w:proofErr w:type="gramStart"/>
      <w:r w:rsidRPr="002A07A6">
        <w:t>operating</w:t>
      </w:r>
      <w:proofErr w:type="gramEnd"/>
      <w:r w:rsidRPr="002A07A6">
        <w:t xml:space="preserve"> budget</w:t>
      </w:r>
    </w:p>
    <w:p w:rsidR="00F13255" w:rsidRPr="002A07A6" w:rsidRDefault="00F13255" w:rsidP="002A07A6">
      <w:proofErr w:type="gramStart"/>
      <w:r w:rsidRPr="002A07A6">
        <w:t>planned</w:t>
      </w:r>
      <w:proofErr w:type="gramEnd"/>
      <w:r w:rsidRPr="002A07A6">
        <w:t xml:space="preserve"> unit development</w:t>
      </w:r>
    </w:p>
    <w:p w:rsidR="00F13255" w:rsidRPr="002A07A6" w:rsidRDefault="00F13255" w:rsidP="002A07A6">
      <w:proofErr w:type="gramStart"/>
      <w:r w:rsidRPr="002A07A6">
        <w:t>preventive</w:t>
      </w:r>
      <w:proofErr w:type="gramEnd"/>
      <w:r w:rsidRPr="002A07A6">
        <w:t xml:space="preserve"> maintenance</w:t>
      </w:r>
    </w:p>
    <w:p w:rsidR="00F13255" w:rsidRPr="002A07A6" w:rsidRDefault="00F13255" w:rsidP="002A07A6">
      <w:proofErr w:type="gramStart"/>
      <w:r w:rsidRPr="002A07A6">
        <w:t>property</w:t>
      </w:r>
      <w:proofErr w:type="gramEnd"/>
      <w:r w:rsidRPr="002A07A6">
        <w:t xml:space="preserve"> analysis</w:t>
      </w:r>
    </w:p>
    <w:p w:rsidR="00F13255" w:rsidRDefault="00F13255" w:rsidP="002A07A6">
      <w:proofErr w:type="gramStart"/>
      <w:r w:rsidRPr="002A07A6">
        <w:t>property</w:t>
      </w:r>
      <w:proofErr w:type="gramEnd"/>
      <w:r w:rsidRPr="002A07A6">
        <w:t xml:space="preserve"> maintenance</w:t>
      </w:r>
    </w:p>
    <w:p w:rsidR="00F13255" w:rsidRPr="002A07A6" w:rsidRDefault="00F13255" w:rsidP="002A07A6">
      <w:proofErr w:type="gramStart"/>
      <w:r w:rsidRPr="002A07A6">
        <w:t>property</w:t>
      </w:r>
      <w:proofErr w:type="gramEnd"/>
      <w:r w:rsidRPr="002A07A6">
        <w:t xml:space="preserve"> management reports</w:t>
      </w:r>
    </w:p>
    <w:p w:rsidR="00F13255" w:rsidRPr="002A07A6" w:rsidRDefault="00F13255" w:rsidP="002A07A6">
      <w:proofErr w:type="gramStart"/>
      <w:r w:rsidRPr="002A07A6">
        <w:t>property</w:t>
      </w:r>
      <w:proofErr w:type="gramEnd"/>
      <w:r w:rsidRPr="002A07A6">
        <w:t xml:space="preserve"> manager</w:t>
      </w:r>
    </w:p>
    <w:p w:rsidR="00F13255" w:rsidRPr="002A07A6" w:rsidRDefault="00F13255" w:rsidP="002A07A6">
      <w:proofErr w:type="gramStart"/>
      <w:r w:rsidRPr="002A07A6">
        <w:t>regional</w:t>
      </w:r>
      <w:proofErr w:type="gramEnd"/>
      <w:r w:rsidRPr="002A07A6">
        <w:t xml:space="preserve"> analysis</w:t>
      </w:r>
    </w:p>
    <w:p w:rsidR="00F13255" w:rsidRPr="002A07A6" w:rsidRDefault="00F13255" w:rsidP="002A07A6">
      <w:proofErr w:type="gramStart"/>
      <w:r w:rsidRPr="002A07A6">
        <w:t>rent</w:t>
      </w:r>
      <w:proofErr w:type="gramEnd"/>
      <w:r w:rsidRPr="002A07A6">
        <w:t xml:space="preserve"> control</w:t>
      </w:r>
    </w:p>
    <w:p w:rsidR="00F13255" w:rsidRPr="002A07A6" w:rsidRDefault="00F13255" w:rsidP="002A07A6">
      <w:proofErr w:type="gramStart"/>
      <w:r w:rsidRPr="002A07A6">
        <w:t>rent</w:t>
      </w:r>
      <w:proofErr w:type="gramEnd"/>
      <w:r w:rsidRPr="002A07A6">
        <w:t xml:space="preserve"> roll</w:t>
      </w:r>
    </w:p>
    <w:p w:rsidR="00F13255" w:rsidRPr="002A07A6" w:rsidRDefault="00F13255" w:rsidP="002A07A6">
      <w:proofErr w:type="gramStart"/>
      <w:r w:rsidRPr="002A07A6">
        <w:t>rent</w:t>
      </w:r>
      <w:proofErr w:type="gramEnd"/>
      <w:r w:rsidRPr="002A07A6">
        <w:t xml:space="preserve"> stabilization</w:t>
      </w:r>
    </w:p>
    <w:p w:rsidR="00F13255" w:rsidRPr="002A07A6" w:rsidRDefault="00F13255" w:rsidP="002A07A6">
      <w:proofErr w:type="gramStart"/>
      <w:r w:rsidRPr="002A07A6">
        <w:t>replacement</w:t>
      </w:r>
      <w:proofErr w:type="gramEnd"/>
      <w:r w:rsidRPr="002A07A6">
        <w:t xml:space="preserve"> cost</w:t>
      </w:r>
    </w:p>
    <w:p w:rsidR="00F13255" w:rsidRPr="002A07A6" w:rsidRDefault="00F13255" w:rsidP="002A07A6">
      <w:proofErr w:type="gramStart"/>
      <w:r w:rsidRPr="002A07A6">
        <w:t>residential</w:t>
      </w:r>
      <w:proofErr w:type="gramEnd"/>
      <w:r w:rsidRPr="002A07A6">
        <w:t xml:space="preserve"> property</w:t>
      </w:r>
    </w:p>
    <w:p w:rsidR="00F13255" w:rsidRPr="002A07A6" w:rsidRDefault="00F13255" w:rsidP="002A07A6">
      <w:proofErr w:type="gramStart"/>
      <w:r w:rsidRPr="002A07A6">
        <w:t>retail</w:t>
      </w:r>
      <w:proofErr w:type="gramEnd"/>
      <w:r w:rsidRPr="002A07A6">
        <w:t xml:space="preserve"> property</w:t>
      </w:r>
    </w:p>
    <w:p w:rsidR="00F13255" w:rsidRPr="002A07A6" w:rsidRDefault="00F13255" w:rsidP="002A07A6">
      <w:proofErr w:type="gramStart"/>
      <w:r w:rsidRPr="002A07A6">
        <w:t>risk</w:t>
      </w:r>
      <w:proofErr w:type="gramEnd"/>
      <w:r w:rsidRPr="002A07A6">
        <w:t xml:space="preserve"> management</w:t>
      </w:r>
    </w:p>
    <w:p w:rsidR="00F13255" w:rsidRPr="002A07A6" w:rsidRDefault="00F13255" w:rsidP="002A07A6">
      <w:r w:rsidRPr="002A07A6">
        <w:t>Section 8</w:t>
      </w:r>
    </w:p>
    <w:p w:rsidR="00F13255" w:rsidRPr="002A07A6" w:rsidRDefault="00F13255" w:rsidP="002A07A6">
      <w:proofErr w:type="gramStart"/>
      <w:r w:rsidRPr="002A07A6">
        <w:t>security</w:t>
      </w:r>
      <w:proofErr w:type="gramEnd"/>
      <w:r w:rsidRPr="002A07A6">
        <w:t xml:space="preserve"> deposit</w:t>
      </w:r>
    </w:p>
    <w:p w:rsidR="00F13255" w:rsidRPr="002A07A6" w:rsidRDefault="00F13255" w:rsidP="002A07A6">
      <w:proofErr w:type="gramStart"/>
      <w:r w:rsidRPr="002A07A6">
        <w:t>stabilized</w:t>
      </w:r>
      <w:proofErr w:type="gramEnd"/>
      <w:r w:rsidRPr="002A07A6">
        <w:t xml:space="preserve"> budget</w:t>
      </w:r>
    </w:p>
    <w:p w:rsidR="00F13255" w:rsidRPr="002A07A6" w:rsidRDefault="00F13255" w:rsidP="002A07A6">
      <w:proofErr w:type="gramStart"/>
      <w:r w:rsidRPr="002A07A6">
        <w:t>surety</w:t>
      </w:r>
      <w:proofErr w:type="gramEnd"/>
      <w:r w:rsidRPr="002A07A6">
        <w:t xml:space="preserve"> bonds</w:t>
      </w:r>
    </w:p>
    <w:p w:rsidR="00F13255" w:rsidRPr="002A07A6" w:rsidRDefault="00F13255" w:rsidP="002A07A6">
      <w:bookmarkStart w:id="0" w:name="_GoBack"/>
      <w:bookmarkEnd w:id="0"/>
      <w:proofErr w:type="gramStart"/>
      <w:r w:rsidRPr="002A07A6">
        <w:t>tenancy</w:t>
      </w:r>
      <w:proofErr w:type="gramEnd"/>
      <w:r w:rsidRPr="002A07A6">
        <w:t xml:space="preserve"> for years</w:t>
      </w:r>
    </w:p>
    <w:p w:rsidR="00F13255" w:rsidRPr="002A07A6" w:rsidRDefault="00F13255" w:rsidP="002A07A6">
      <w:proofErr w:type="gramStart"/>
      <w:r w:rsidRPr="002A07A6">
        <w:t>variable</w:t>
      </w:r>
      <w:proofErr w:type="gramEnd"/>
      <w:r w:rsidRPr="002A07A6">
        <w:t xml:space="preserve"> expenses</w:t>
      </w:r>
    </w:p>
    <w:p w:rsidR="00F13255" w:rsidRPr="002A07A6" w:rsidRDefault="00F13255" w:rsidP="002A07A6">
      <w:proofErr w:type="gramStart"/>
      <w:r w:rsidRPr="002A07A6">
        <w:t>workers</w:t>
      </w:r>
      <w:proofErr w:type="gramEnd"/>
      <w:r w:rsidRPr="002A07A6">
        <w:t>’ compensation acts</w:t>
      </w:r>
    </w:p>
    <w:p w:rsidR="009D7DB9" w:rsidRDefault="009D7DB9" w:rsidP="009D7DB9"/>
    <w:p w:rsidR="009D7DB9" w:rsidRDefault="009D7DB9" w:rsidP="009D7DB9">
      <w:r>
        <w:t xml:space="preserve"> </w:t>
      </w:r>
    </w:p>
    <w:p w:rsidR="009D7DB9" w:rsidRPr="00711E7B" w:rsidRDefault="00711E7B" w:rsidP="009D7DB9">
      <w:pPr>
        <w:rPr>
          <w:b/>
          <w:u w:val="single"/>
        </w:rPr>
      </w:pPr>
      <w:r w:rsidRPr="00711E7B">
        <w:rPr>
          <w:b/>
          <w:u w:val="single"/>
        </w:rPr>
        <w:t>LECTURE OUTLINE</w:t>
      </w:r>
    </w:p>
    <w:p w:rsidR="009D7DB9" w:rsidRDefault="009D7DB9" w:rsidP="009D7DB9"/>
    <w:p w:rsidR="00F13255" w:rsidRDefault="00F13255" w:rsidP="00F13255">
      <w:pPr>
        <w:rPr>
          <w:b/>
        </w:rPr>
      </w:pPr>
      <w:r w:rsidRPr="00326775">
        <w:rPr>
          <w:b/>
        </w:rPr>
        <w:t>I.</w:t>
      </w:r>
      <w:r w:rsidRPr="00326775">
        <w:rPr>
          <w:b/>
        </w:rPr>
        <w:tab/>
      </w:r>
      <w:r>
        <w:rPr>
          <w:b/>
        </w:rPr>
        <w:t>PROPERTY MANAGEMENT</w:t>
      </w:r>
    </w:p>
    <w:p w:rsidR="00F13255" w:rsidRDefault="00F13255" w:rsidP="0055489F">
      <w:pPr>
        <w:pStyle w:val="ListParagraph"/>
        <w:numPr>
          <w:ilvl w:val="0"/>
          <w:numId w:val="2"/>
        </w:numPr>
      </w:pPr>
      <w:r>
        <w:t>Property manager</w:t>
      </w:r>
    </w:p>
    <w:p w:rsidR="00F13255" w:rsidRDefault="00F13255" w:rsidP="0055489F">
      <w:pPr>
        <w:pStyle w:val="ListParagraph"/>
        <w:numPr>
          <w:ilvl w:val="1"/>
          <w:numId w:val="2"/>
        </w:numPr>
      </w:pPr>
      <w:r>
        <w:t>Operations</w:t>
      </w:r>
    </w:p>
    <w:p w:rsidR="00F13255" w:rsidRDefault="00F13255" w:rsidP="0055489F">
      <w:pPr>
        <w:pStyle w:val="ListParagraph"/>
        <w:numPr>
          <w:ilvl w:val="1"/>
          <w:numId w:val="2"/>
        </w:numPr>
      </w:pPr>
      <w:r>
        <w:t>Financial reporting</w:t>
      </w:r>
    </w:p>
    <w:p w:rsidR="00F13255" w:rsidRDefault="00F13255" w:rsidP="002A07A6"/>
    <w:p w:rsidR="00F13255" w:rsidRDefault="00F13255" w:rsidP="00F13255">
      <w:pPr>
        <w:rPr>
          <w:b/>
        </w:rPr>
      </w:pPr>
      <w:r w:rsidRPr="00326775">
        <w:rPr>
          <w:b/>
        </w:rPr>
        <w:t>II.</w:t>
      </w:r>
      <w:r w:rsidRPr="00326775">
        <w:rPr>
          <w:b/>
        </w:rPr>
        <w:tab/>
      </w:r>
      <w:r>
        <w:rPr>
          <w:b/>
        </w:rPr>
        <w:t>REAL ESTATE MANAGEMENT</w:t>
      </w:r>
    </w:p>
    <w:p w:rsidR="00F13255" w:rsidRDefault="00F13255" w:rsidP="0055489F">
      <w:pPr>
        <w:pStyle w:val="ListParagraph"/>
        <w:numPr>
          <w:ilvl w:val="0"/>
          <w:numId w:val="3"/>
        </w:numPr>
      </w:pPr>
      <w:r>
        <w:t>Site manager</w:t>
      </w:r>
    </w:p>
    <w:p w:rsidR="00F13255" w:rsidRDefault="00F13255" w:rsidP="0055489F">
      <w:pPr>
        <w:pStyle w:val="ListParagraph"/>
        <w:numPr>
          <w:ilvl w:val="0"/>
          <w:numId w:val="3"/>
        </w:numPr>
      </w:pPr>
      <w:r>
        <w:t>Property manager</w:t>
      </w:r>
    </w:p>
    <w:p w:rsidR="00F13255" w:rsidRDefault="00F13255" w:rsidP="0055489F">
      <w:pPr>
        <w:pStyle w:val="ListParagraph"/>
        <w:numPr>
          <w:ilvl w:val="0"/>
          <w:numId w:val="3"/>
        </w:numPr>
      </w:pPr>
      <w:r>
        <w:t>Portfolio manager</w:t>
      </w:r>
    </w:p>
    <w:p w:rsidR="00F13255" w:rsidRDefault="00F13255" w:rsidP="0055489F">
      <w:pPr>
        <w:pStyle w:val="ListParagraph"/>
        <w:numPr>
          <w:ilvl w:val="0"/>
          <w:numId w:val="3"/>
        </w:numPr>
      </w:pPr>
      <w:r>
        <w:t>Asset manager</w:t>
      </w:r>
    </w:p>
    <w:p w:rsidR="00F13255" w:rsidRDefault="00F13255" w:rsidP="0055489F">
      <w:pPr>
        <w:pStyle w:val="ListParagraph"/>
        <w:numPr>
          <w:ilvl w:val="0"/>
          <w:numId w:val="3"/>
        </w:numPr>
      </w:pPr>
      <w:r>
        <w:t>Responsibilities</w:t>
      </w:r>
    </w:p>
    <w:p w:rsidR="00F13255" w:rsidRDefault="00F13255" w:rsidP="002A07A6"/>
    <w:p w:rsidR="00F13255" w:rsidRDefault="00F13255" w:rsidP="00F13255">
      <w:pPr>
        <w:rPr>
          <w:b/>
        </w:rPr>
      </w:pPr>
      <w:r w:rsidRPr="00326775">
        <w:rPr>
          <w:b/>
        </w:rPr>
        <w:t>I</w:t>
      </w:r>
      <w:r>
        <w:rPr>
          <w:b/>
        </w:rPr>
        <w:t>I</w:t>
      </w:r>
      <w:r w:rsidRPr="00326775">
        <w:rPr>
          <w:b/>
        </w:rPr>
        <w:t>I.</w:t>
      </w:r>
      <w:r w:rsidRPr="00326775">
        <w:rPr>
          <w:b/>
        </w:rPr>
        <w:tab/>
      </w:r>
      <w:r>
        <w:rPr>
          <w:b/>
        </w:rPr>
        <w:t>PROPERTY MANAGEMENT SERVICES</w:t>
      </w:r>
    </w:p>
    <w:p w:rsidR="00F13255" w:rsidRDefault="00F13255" w:rsidP="0055489F">
      <w:pPr>
        <w:pStyle w:val="ListParagraph"/>
        <w:numPr>
          <w:ilvl w:val="0"/>
          <w:numId w:val="4"/>
        </w:numPr>
      </w:pPr>
      <w:r>
        <w:t>Property condition and risk</w:t>
      </w:r>
    </w:p>
    <w:p w:rsidR="00F13255" w:rsidRDefault="00F13255" w:rsidP="0055489F">
      <w:pPr>
        <w:pStyle w:val="ListParagraph"/>
        <w:numPr>
          <w:ilvl w:val="0"/>
          <w:numId w:val="4"/>
        </w:numPr>
      </w:pPr>
      <w:r>
        <w:t>Claims</w:t>
      </w:r>
    </w:p>
    <w:p w:rsidR="00F13255" w:rsidRDefault="00F13255" w:rsidP="0055489F">
      <w:pPr>
        <w:pStyle w:val="ListParagraph"/>
        <w:numPr>
          <w:ilvl w:val="0"/>
          <w:numId w:val="4"/>
        </w:numPr>
      </w:pPr>
      <w:r>
        <w:t>Risk and capitalization (CAP) rate</w:t>
      </w:r>
    </w:p>
    <w:p w:rsidR="00F13255" w:rsidRDefault="00F13255" w:rsidP="0055489F">
      <w:pPr>
        <w:pStyle w:val="ListParagraph"/>
        <w:numPr>
          <w:ilvl w:val="1"/>
          <w:numId w:val="4"/>
        </w:numPr>
      </w:pPr>
      <w:r>
        <w:t>Capitalization rate and value</w:t>
      </w:r>
    </w:p>
    <w:p w:rsidR="00F13255" w:rsidRDefault="00F13255" w:rsidP="0055489F">
      <w:pPr>
        <w:pStyle w:val="ListParagraph"/>
        <w:numPr>
          <w:ilvl w:val="0"/>
          <w:numId w:val="4"/>
        </w:numPr>
      </w:pPr>
      <w:r>
        <w:t>Increase new operating income (NOI)</w:t>
      </w:r>
    </w:p>
    <w:p w:rsidR="00F13255" w:rsidRDefault="00F13255" w:rsidP="002A07A6"/>
    <w:p w:rsidR="00F13255" w:rsidRDefault="00F13255" w:rsidP="00F13255">
      <w:pPr>
        <w:rPr>
          <w:b/>
        </w:rPr>
      </w:pPr>
      <w:r w:rsidRPr="00326775">
        <w:rPr>
          <w:b/>
        </w:rPr>
        <w:lastRenderedPageBreak/>
        <w:t>I</w:t>
      </w:r>
      <w:r>
        <w:rPr>
          <w:b/>
        </w:rPr>
        <w:t>V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RENT TYPES AND LEASE CLAUSES</w:t>
      </w:r>
    </w:p>
    <w:p w:rsidR="00F13255" w:rsidRDefault="00F13255" w:rsidP="0055489F">
      <w:pPr>
        <w:pStyle w:val="ListParagraph"/>
        <w:numPr>
          <w:ilvl w:val="0"/>
          <w:numId w:val="5"/>
        </w:numPr>
      </w:pPr>
      <w:r>
        <w:t>Setting rental rates</w:t>
      </w:r>
    </w:p>
    <w:p w:rsidR="00F13255" w:rsidRDefault="00F13255" w:rsidP="0055489F">
      <w:pPr>
        <w:pStyle w:val="ListParagraph"/>
        <w:numPr>
          <w:ilvl w:val="0"/>
          <w:numId w:val="5"/>
        </w:numPr>
      </w:pPr>
      <w:r>
        <w:t>Negotiating leases</w:t>
      </w:r>
    </w:p>
    <w:p w:rsidR="00F13255" w:rsidRDefault="00F13255" w:rsidP="0055489F">
      <w:pPr>
        <w:pStyle w:val="ListParagraph"/>
        <w:numPr>
          <w:ilvl w:val="0"/>
          <w:numId w:val="5"/>
        </w:numPr>
      </w:pPr>
      <w:r>
        <w:t>Concessions</w:t>
      </w:r>
    </w:p>
    <w:p w:rsidR="00F13255" w:rsidRDefault="00F13255" w:rsidP="0055489F">
      <w:pPr>
        <w:pStyle w:val="ListParagraph"/>
        <w:numPr>
          <w:ilvl w:val="0"/>
          <w:numId w:val="5"/>
        </w:numPr>
      </w:pPr>
      <w:r>
        <w:t>Tenant options</w:t>
      </w:r>
    </w:p>
    <w:p w:rsidR="00F13255" w:rsidRDefault="00F13255" w:rsidP="0055489F">
      <w:pPr>
        <w:pStyle w:val="ListParagraph"/>
        <w:numPr>
          <w:ilvl w:val="0"/>
          <w:numId w:val="5"/>
        </w:numPr>
      </w:pPr>
      <w:r>
        <w:t>Standard clauses</w:t>
      </w:r>
    </w:p>
    <w:p w:rsidR="00F13255" w:rsidRDefault="00F13255" w:rsidP="0055489F">
      <w:pPr>
        <w:pStyle w:val="ListParagraph"/>
        <w:numPr>
          <w:ilvl w:val="0"/>
          <w:numId w:val="5"/>
        </w:numPr>
      </w:pPr>
      <w:r>
        <w:t>Rental vs. usable area</w:t>
      </w:r>
    </w:p>
    <w:p w:rsidR="00F13255" w:rsidRDefault="00F13255" w:rsidP="0055489F">
      <w:pPr>
        <w:pStyle w:val="ListParagraph"/>
        <w:numPr>
          <w:ilvl w:val="1"/>
          <w:numId w:val="5"/>
        </w:numPr>
      </w:pPr>
      <w:r>
        <w:t>Rentable area</w:t>
      </w:r>
    </w:p>
    <w:p w:rsidR="00F13255" w:rsidRDefault="00F13255" w:rsidP="0055489F">
      <w:pPr>
        <w:pStyle w:val="ListParagraph"/>
        <w:numPr>
          <w:ilvl w:val="1"/>
          <w:numId w:val="5"/>
        </w:numPr>
      </w:pPr>
      <w:r>
        <w:t>Usable area</w:t>
      </w:r>
    </w:p>
    <w:p w:rsidR="00F13255" w:rsidRDefault="00F13255" w:rsidP="0055489F">
      <w:pPr>
        <w:pStyle w:val="ListParagraph"/>
        <w:numPr>
          <w:ilvl w:val="1"/>
          <w:numId w:val="5"/>
        </w:numPr>
      </w:pPr>
      <w:r>
        <w:t>Loss factor</w:t>
      </w:r>
    </w:p>
    <w:p w:rsidR="00F13255" w:rsidRDefault="00F13255" w:rsidP="002A07A6"/>
    <w:p w:rsidR="00F13255" w:rsidRDefault="00F13255" w:rsidP="00F13255">
      <w:pPr>
        <w:rPr>
          <w:b/>
        </w:rPr>
      </w:pPr>
      <w:r>
        <w:rPr>
          <w:b/>
        </w:rPr>
        <w:t>V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A PROPERTY’S INCOME AND EXPENSE STATEMENT</w:t>
      </w:r>
    </w:p>
    <w:p w:rsidR="00F13255" w:rsidRDefault="00F13255" w:rsidP="0055489F">
      <w:pPr>
        <w:pStyle w:val="ListParagraph"/>
        <w:numPr>
          <w:ilvl w:val="0"/>
          <w:numId w:val="6"/>
        </w:numPr>
      </w:pPr>
      <w:r>
        <w:t>Deriving the net operating income (NOI)</w:t>
      </w:r>
    </w:p>
    <w:p w:rsidR="00F13255" w:rsidRDefault="00F13255" w:rsidP="0055489F">
      <w:pPr>
        <w:pStyle w:val="ListParagraph"/>
        <w:numPr>
          <w:ilvl w:val="1"/>
          <w:numId w:val="6"/>
        </w:numPr>
      </w:pPr>
      <w:r>
        <w:t>Step 1: Income analysis</w:t>
      </w:r>
    </w:p>
    <w:p w:rsidR="00F13255" w:rsidRDefault="00F13255" w:rsidP="0055489F">
      <w:pPr>
        <w:pStyle w:val="ListParagraph"/>
        <w:numPr>
          <w:ilvl w:val="1"/>
          <w:numId w:val="6"/>
        </w:numPr>
      </w:pPr>
      <w:r>
        <w:t>Step 2: Operating expense analysis</w:t>
      </w:r>
    </w:p>
    <w:p w:rsidR="00F13255" w:rsidRDefault="00F13255" w:rsidP="002A07A6"/>
    <w:p w:rsidR="00F13255" w:rsidRDefault="00F13255" w:rsidP="00F13255">
      <w:pPr>
        <w:rPr>
          <w:b/>
        </w:rPr>
      </w:pPr>
      <w:r>
        <w:rPr>
          <w:b/>
        </w:rPr>
        <w:t>VI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PLANNING AND BUDGETING</w:t>
      </w:r>
    </w:p>
    <w:p w:rsidR="00F13255" w:rsidRDefault="00F13255" w:rsidP="0055489F">
      <w:pPr>
        <w:pStyle w:val="ListParagraph"/>
        <w:numPr>
          <w:ilvl w:val="0"/>
          <w:numId w:val="7"/>
        </w:numPr>
      </w:pPr>
      <w:r>
        <w:t>Market analysis</w:t>
      </w:r>
    </w:p>
    <w:p w:rsidR="00F13255" w:rsidRDefault="00F13255" w:rsidP="0055489F">
      <w:pPr>
        <w:pStyle w:val="ListParagraph"/>
        <w:numPr>
          <w:ilvl w:val="1"/>
          <w:numId w:val="7"/>
        </w:numPr>
      </w:pPr>
      <w:r>
        <w:t>Regional analysis</w:t>
      </w:r>
    </w:p>
    <w:p w:rsidR="00F13255" w:rsidRDefault="00F13255" w:rsidP="0055489F">
      <w:pPr>
        <w:pStyle w:val="ListParagraph"/>
        <w:numPr>
          <w:ilvl w:val="1"/>
          <w:numId w:val="7"/>
        </w:numPr>
      </w:pPr>
      <w:r>
        <w:t>Neighborhood analysis</w:t>
      </w:r>
    </w:p>
    <w:p w:rsidR="00F13255" w:rsidRDefault="00F13255" w:rsidP="0055489F">
      <w:pPr>
        <w:pStyle w:val="ListParagraph"/>
        <w:numPr>
          <w:ilvl w:val="1"/>
          <w:numId w:val="7"/>
        </w:numPr>
      </w:pPr>
      <w:r>
        <w:t>Property analysis</w:t>
      </w:r>
    </w:p>
    <w:p w:rsidR="00F13255" w:rsidRDefault="00F13255" w:rsidP="0055489F">
      <w:pPr>
        <w:pStyle w:val="ListParagraph"/>
        <w:numPr>
          <w:ilvl w:val="1"/>
          <w:numId w:val="7"/>
        </w:numPr>
      </w:pPr>
      <w:r>
        <w:t>Owner objectives</w:t>
      </w:r>
    </w:p>
    <w:p w:rsidR="00F13255" w:rsidRDefault="00F13255" w:rsidP="0055489F">
      <w:pPr>
        <w:pStyle w:val="ListParagraph"/>
        <w:numPr>
          <w:ilvl w:val="0"/>
          <w:numId w:val="7"/>
        </w:numPr>
      </w:pPr>
      <w:r>
        <w:t>Budgeting</w:t>
      </w:r>
    </w:p>
    <w:p w:rsidR="00F13255" w:rsidRDefault="00F13255" w:rsidP="002A07A6"/>
    <w:p w:rsidR="00F13255" w:rsidRDefault="00F13255" w:rsidP="00F13255">
      <w:pPr>
        <w:rPr>
          <w:b/>
        </w:rPr>
      </w:pPr>
      <w:r>
        <w:rPr>
          <w:b/>
        </w:rPr>
        <w:t>V</w:t>
      </w:r>
      <w:r w:rsidRPr="00326775">
        <w:rPr>
          <w:b/>
        </w:rPr>
        <w:t>II.</w:t>
      </w:r>
      <w:r w:rsidRPr="00326775">
        <w:rPr>
          <w:b/>
        </w:rPr>
        <w:tab/>
      </w:r>
      <w:r>
        <w:rPr>
          <w:b/>
        </w:rPr>
        <w:t>MARKETING</w:t>
      </w:r>
    </w:p>
    <w:p w:rsidR="00F13255" w:rsidRDefault="00F13255" w:rsidP="0055489F">
      <w:pPr>
        <w:pStyle w:val="ListParagraph"/>
        <w:numPr>
          <w:ilvl w:val="0"/>
          <w:numId w:val="8"/>
        </w:numPr>
      </w:pPr>
      <w:r>
        <w:t>Marketing activities</w:t>
      </w:r>
    </w:p>
    <w:p w:rsidR="00F13255" w:rsidRDefault="00F13255" w:rsidP="0055489F">
      <w:pPr>
        <w:pStyle w:val="ListParagraph"/>
        <w:numPr>
          <w:ilvl w:val="1"/>
          <w:numId w:val="8"/>
        </w:numPr>
      </w:pPr>
      <w:r>
        <w:t>Advertising</w:t>
      </w:r>
    </w:p>
    <w:p w:rsidR="00F13255" w:rsidRDefault="00F13255" w:rsidP="0055489F">
      <w:pPr>
        <w:pStyle w:val="ListParagraph"/>
        <w:numPr>
          <w:ilvl w:val="1"/>
          <w:numId w:val="8"/>
        </w:numPr>
      </w:pPr>
      <w:r>
        <w:t>Selecting tenants</w:t>
      </w:r>
    </w:p>
    <w:p w:rsidR="00F13255" w:rsidRDefault="00F13255" w:rsidP="002A07A6"/>
    <w:p w:rsidR="00F13255" w:rsidRDefault="00F13255" w:rsidP="00F13255">
      <w:pPr>
        <w:rPr>
          <w:b/>
        </w:rPr>
      </w:pPr>
      <w:r>
        <w:rPr>
          <w:b/>
        </w:rPr>
        <w:t>VI</w:t>
      </w:r>
      <w:r w:rsidRPr="00326775">
        <w:rPr>
          <w:b/>
        </w:rPr>
        <w:t>II.</w:t>
      </w:r>
      <w:r w:rsidRPr="00326775">
        <w:rPr>
          <w:b/>
        </w:rPr>
        <w:tab/>
      </w:r>
      <w:r>
        <w:rPr>
          <w:b/>
        </w:rPr>
        <w:t>MANAGING LEASES AND TENANT RELATIONS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Renting the property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Residential property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Commercial property</w:t>
      </w:r>
    </w:p>
    <w:p w:rsidR="00F13255" w:rsidRDefault="00F13255" w:rsidP="0055489F">
      <w:pPr>
        <w:pStyle w:val="ListParagraph"/>
        <w:numPr>
          <w:ilvl w:val="1"/>
          <w:numId w:val="9"/>
        </w:numPr>
      </w:pPr>
      <w:r>
        <w:t>Bas</w:t>
      </w:r>
      <w:r w:rsidR="00E43E11">
        <w:t>e</w:t>
      </w:r>
      <w:r>
        <w:t xml:space="preserve"> year</w:t>
      </w:r>
    </w:p>
    <w:p w:rsidR="00F13255" w:rsidRDefault="00F13255" w:rsidP="0055489F">
      <w:pPr>
        <w:pStyle w:val="ListParagraph"/>
        <w:numPr>
          <w:ilvl w:val="1"/>
          <w:numId w:val="9"/>
        </w:numPr>
      </w:pPr>
      <w:r>
        <w:t>Tenant proportionate share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Operating/real estate tax stop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Real property tax clause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Direct operating escalation clause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Porter’s wage rate escalation formula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Penny-for-penny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Fringe benefits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Fixed percentage increases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Consumer Price Index (CPI)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Medical offices/medical office building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Retail property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Industrial property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lastRenderedPageBreak/>
        <w:t>Hotels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Residential leases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Creating effective strategies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Creating effective programs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Excessive tax assessment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Operating capitalized and stabilized budgets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Fair housing and ADA laws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Functioning and energy consumption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Various building codes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Manager’s obligations to the owner</w:t>
      </w:r>
    </w:p>
    <w:p w:rsidR="00F13255" w:rsidRDefault="00F13255" w:rsidP="0055489F">
      <w:pPr>
        <w:pStyle w:val="ListParagraph"/>
        <w:numPr>
          <w:ilvl w:val="1"/>
          <w:numId w:val="9"/>
        </w:numPr>
      </w:pPr>
      <w:r>
        <w:t>Goals</w:t>
      </w:r>
    </w:p>
    <w:p w:rsidR="00F13255" w:rsidRDefault="00F13255" w:rsidP="0055489F">
      <w:pPr>
        <w:pStyle w:val="ListParagraph"/>
        <w:numPr>
          <w:ilvl w:val="1"/>
          <w:numId w:val="9"/>
        </w:numPr>
      </w:pPr>
      <w:r>
        <w:t>Maintenance</w:t>
      </w:r>
    </w:p>
    <w:p w:rsidR="00F13255" w:rsidRDefault="00F13255" w:rsidP="0055489F">
      <w:pPr>
        <w:pStyle w:val="ListParagraph"/>
        <w:numPr>
          <w:ilvl w:val="1"/>
          <w:numId w:val="9"/>
        </w:numPr>
      </w:pPr>
      <w:r>
        <w:t>Criteria, future of the project, and reporting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Environmental laws</w:t>
      </w:r>
    </w:p>
    <w:p w:rsidR="00F13255" w:rsidRDefault="00F13255" w:rsidP="0055489F">
      <w:pPr>
        <w:pStyle w:val="ListParagraph"/>
        <w:numPr>
          <w:ilvl w:val="0"/>
          <w:numId w:val="9"/>
        </w:numPr>
      </w:pPr>
      <w:r>
        <w:t>Emergency plans</w:t>
      </w:r>
    </w:p>
    <w:p w:rsidR="00F13255" w:rsidRDefault="00F13255" w:rsidP="002A07A6"/>
    <w:p w:rsidR="00F13255" w:rsidRDefault="00F13255" w:rsidP="00F13255">
      <w:pPr>
        <w:rPr>
          <w:b/>
        </w:rPr>
      </w:pPr>
      <w:r w:rsidRPr="00326775">
        <w:rPr>
          <w:b/>
        </w:rPr>
        <w:t>I</w:t>
      </w:r>
      <w:r w:rsidR="002A07A6">
        <w:rPr>
          <w:b/>
        </w:rPr>
        <w:t>X</w:t>
      </w:r>
      <w:r w:rsidRPr="00326775">
        <w:rPr>
          <w:b/>
        </w:rPr>
        <w:t>.</w:t>
      </w:r>
      <w:r w:rsidRPr="00326775">
        <w:rPr>
          <w:b/>
        </w:rPr>
        <w:tab/>
      </w:r>
      <w:r w:rsidR="002A07A6">
        <w:rPr>
          <w:b/>
        </w:rPr>
        <w:t>THE MANAGEMENT AGREEMENT</w:t>
      </w:r>
    </w:p>
    <w:p w:rsidR="00F13255" w:rsidRDefault="002A07A6" w:rsidP="0055489F">
      <w:pPr>
        <w:pStyle w:val="ListParagraph"/>
        <w:numPr>
          <w:ilvl w:val="0"/>
          <w:numId w:val="10"/>
        </w:numPr>
      </w:pPr>
      <w:r>
        <w:t>Other property management considerations</w:t>
      </w:r>
    </w:p>
    <w:p w:rsidR="002A07A6" w:rsidRDefault="002A07A6" w:rsidP="0055489F">
      <w:pPr>
        <w:pStyle w:val="ListParagraph"/>
        <w:numPr>
          <w:ilvl w:val="1"/>
          <w:numId w:val="10"/>
        </w:numPr>
      </w:pPr>
      <w:r>
        <w:t>Collecting rends</w:t>
      </w:r>
    </w:p>
    <w:p w:rsidR="002A07A6" w:rsidRDefault="002A07A6" w:rsidP="0055489F">
      <w:pPr>
        <w:pStyle w:val="ListParagraph"/>
        <w:numPr>
          <w:ilvl w:val="1"/>
          <w:numId w:val="10"/>
        </w:numPr>
      </w:pPr>
      <w:r>
        <w:t>Tenants’ rights</w:t>
      </w:r>
    </w:p>
    <w:p w:rsidR="002A07A6" w:rsidRDefault="002A07A6" w:rsidP="0055489F">
      <w:pPr>
        <w:pStyle w:val="ListParagraph"/>
        <w:numPr>
          <w:ilvl w:val="1"/>
          <w:numId w:val="10"/>
        </w:numPr>
      </w:pPr>
      <w:r>
        <w:t>Mobile home parks</w:t>
      </w:r>
    </w:p>
    <w:p w:rsidR="002A07A6" w:rsidRDefault="002A07A6" w:rsidP="0055489F">
      <w:pPr>
        <w:pStyle w:val="ListParagraph"/>
        <w:numPr>
          <w:ilvl w:val="1"/>
          <w:numId w:val="10"/>
        </w:numPr>
      </w:pPr>
      <w:r>
        <w:t>Hiring employees vs. contracting services</w:t>
      </w:r>
    </w:p>
    <w:p w:rsidR="002A07A6" w:rsidRDefault="002A07A6" w:rsidP="002A07A6"/>
    <w:p w:rsidR="002A07A6" w:rsidRDefault="002A07A6" w:rsidP="002A07A6">
      <w:pPr>
        <w:rPr>
          <w:b/>
        </w:rPr>
      </w:pPr>
      <w:r>
        <w:rPr>
          <w:b/>
        </w:rPr>
        <w:t>X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SKILLS REQUIRED OF A PROPERTY MANAGER</w:t>
      </w:r>
    </w:p>
    <w:p w:rsidR="002A07A6" w:rsidRDefault="002A07A6" w:rsidP="002A07A6">
      <w:pPr>
        <w:rPr>
          <w:b/>
        </w:rPr>
      </w:pPr>
    </w:p>
    <w:p w:rsidR="002A07A6" w:rsidRDefault="002A07A6" w:rsidP="002A07A6">
      <w:pPr>
        <w:rPr>
          <w:b/>
        </w:rPr>
      </w:pPr>
      <w:r>
        <w:rPr>
          <w:b/>
        </w:rPr>
        <w:t>XI</w:t>
      </w:r>
      <w:r w:rsidRPr="00326775">
        <w:rPr>
          <w:b/>
        </w:rPr>
        <w:t>.</w:t>
      </w:r>
      <w:r w:rsidRPr="00326775">
        <w:rPr>
          <w:b/>
        </w:rPr>
        <w:tab/>
      </w:r>
      <w:r>
        <w:rPr>
          <w:b/>
        </w:rPr>
        <w:t>THE MANAGEMENT FIELD</w:t>
      </w:r>
    </w:p>
    <w:p w:rsidR="002A07A6" w:rsidRDefault="002A07A6" w:rsidP="002A07A6">
      <w:pPr>
        <w:rPr>
          <w:b/>
        </w:rPr>
      </w:pPr>
    </w:p>
    <w:p w:rsidR="002A07A6" w:rsidRDefault="002A07A6" w:rsidP="002A07A6">
      <w:pPr>
        <w:rPr>
          <w:b/>
        </w:rPr>
      </w:pPr>
      <w:r>
        <w:rPr>
          <w:b/>
        </w:rPr>
        <w:t>X</w:t>
      </w:r>
      <w:r w:rsidRPr="00326775">
        <w:rPr>
          <w:b/>
        </w:rPr>
        <w:t>II.</w:t>
      </w:r>
      <w:r w:rsidRPr="00326775">
        <w:rPr>
          <w:b/>
        </w:rPr>
        <w:tab/>
      </w:r>
      <w:r>
        <w:rPr>
          <w:b/>
        </w:rPr>
        <w:t>RENT REGULATIONS</w:t>
      </w:r>
    </w:p>
    <w:p w:rsidR="002A07A6" w:rsidRDefault="002A07A6" w:rsidP="0055489F">
      <w:pPr>
        <w:pStyle w:val="ListParagraph"/>
        <w:numPr>
          <w:ilvl w:val="0"/>
          <w:numId w:val="11"/>
        </w:numPr>
      </w:pPr>
      <w:r>
        <w:t>Rent control</w:t>
      </w:r>
    </w:p>
    <w:p w:rsidR="002A07A6" w:rsidRDefault="002A07A6" w:rsidP="0055489F">
      <w:pPr>
        <w:pStyle w:val="ListParagraph"/>
        <w:numPr>
          <w:ilvl w:val="0"/>
          <w:numId w:val="11"/>
        </w:numPr>
      </w:pPr>
      <w:r>
        <w:t>Rent stabilization</w:t>
      </w:r>
    </w:p>
    <w:p w:rsidR="00E43E11" w:rsidRDefault="00E43E11" w:rsidP="00835FE6">
      <w:pPr>
        <w:pStyle w:val="ListParagraph"/>
        <w:numPr>
          <w:ilvl w:val="0"/>
          <w:numId w:val="11"/>
        </w:numPr>
      </w:pPr>
      <w:r w:rsidRPr="00E43E11">
        <w:t>Housing Stability and Tenant Protection Act (HSTPA) of</w:t>
      </w:r>
      <w:r>
        <w:t xml:space="preserve"> </w:t>
      </w:r>
      <w:r w:rsidRPr="00E43E11">
        <w:t>2019</w:t>
      </w:r>
    </w:p>
    <w:p w:rsidR="002A07A6" w:rsidRDefault="00E43E11" w:rsidP="00E43E11">
      <w:pPr>
        <w:pStyle w:val="ListParagraph"/>
        <w:numPr>
          <w:ilvl w:val="0"/>
          <w:numId w:val="24"/>
        </w:numPr>
      </w:pPr>
      <w:r>
        <w:t>Succession rights</w:t>
      </w:r>
    </w:p>
    <w:p w:rsidR="002A07A6" w:rsidRDefault="002A07A6" w:rsidP="00E43E11">
      <w:pPr>
        <w:pStyle w:val="ListParagraph"/>
        <w:ind w:left="1440"/>
      </w:pPr>
    </w:p>
    <w:p w:rsidR="00BF63F6" w:rsidRPr="002177BC" w:rsidRDefault="002A07A6" w:rsidP="009D7DB9">
      <w:pPr>
        <w:rPr>
          <w:b/>
        </w:rPr>
      </w:pPr>
      <w:r>
        <w:rPr>
          <w:b/>
        </w:rPr>
        <w:t>XI</w:t>
      </w:r>
      <w:r w:rsidRPr="00326775">
        <w:rPr>
          <w:b/>
        </w:rPr>
        <w:t>II.</w:t>
      </w:r>
      <w:r w:rsidRPr="00326775">
        <w:rPr>
          <w:b/>
        </w:rPr>
        <w:tab/>
      </w:r>
      <w:r>
        <w:rPr>
          <w:b/>
        </w:rPr>
        <w:t>SUMMARY</w:t>
      </w:r>
    </w:p>
    <w:sectPr w:rsidR="00BF63F6" w:rsidRPr="002177BC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A4" w:rsidRDefault="00253BA4">
      <w:r>
        <w:separator/>
      </w:r>
    </w:p>
  </w:endnote>
  <w:endnote w:type="continuationSeparator" w:id="0">
    <w:p w:rsidR="00253BA4" w:rsidRDefault="0025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F13255" w:rsidRPr="00D25C2E">
      <w:rPr>
        <w:rFonts w:ascii="Arial" w:hAnsi="Arial" w:cs="Arial"/>
        <w:sz w:val="20"/>
        <w:szCs w:val="20"/>
      </w:rPr>
      <w:t>20</w:t>
    </w:r>
    <w:r w:rsidR="00E43E11">
      <w:rPr>
        <w:rFonts w:ascii="Arial" w:hAnsi="Arial" w:cs="Arial"/>
        <w:sz w:val="20"/>
        <w:szCs w:val="20"/>
      </w:rPr>
      <w:t>24</w:t>
    </w:r>
    <w:r w:rsidR="00F13255" w:rsidRPr="00D25C2E">
      <w:rPr>
        <w:rFonts w:ascii="Arial" w:hAnsi="Arial" w:cs="Arial"/>
        <w:sz w:val="20"/>
        <w:szCs w:val="20"/>
      </w:rPr>
      <w:t xml:space="preserve"> </w:t>
    </w:r>
    <w:r w:rsidRPr="00D25C2E">
      <w:rPr>
        <w:rFonts w:ascii="Arial" w:hAnsi="Arial" w:cs="Arial"/>
        <w:sz w:val="20"/>
        <w:szCs w:val="20"/>
      </w:rPr>
      <w:t>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A4" w:rsidRDefault="00253BA4">
      <w:r>
        <w:separator/>
      </w:r>
    </w:p>
  </w:footnote>
  <w:footnote w:type="continuationSeparator" w:id="0">
    <w:p w:rsidR="00253BA4" w:rsidRDefault="0025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77" w:rsidRDefault="00187E77" w:rsidP="00187E77">
    <w:pPr>
      <w:pStyle w:val="Header"/>
      <w:jc w:val="right"/>
      <w:rPr>
        <w:rStyle w:val="PageNumber"/>
        <w:rFonts w:ascii="Arial" w:hAnsi="Arial" w:cs="Arial"/>
        <w:i/>
      </w:rPr>
    </w:pPr>
    <w:r>
      <w:rPr>
        <w:rStyle w:val="PageNumber"/>
        <w:rFonts w:ascii="Arial" w:hAnsi="Arial" w:cs="Arial"/>
        <w:i/>
        <w:sz w:val="20"/>
        <w:szCs w:val="20"/>
      </w:rPr>
      <w:t>Modern Real Estate Practice in New York for Brokers, 1</w:t>
    </w:r>
    <w:r w:rsidR="00E43E11">
      <w:rPr>
        <w:rStyle w:val="PageNumber"/>
        <w:rFonts w:ascii="Arial" w:hAnsi="Arial" w:cs="Arial"/>
        <w:i/>
        <w:sz w:val="20"/>
        <w:szCs w:val="20"/>
      </w:rPr>
      <w:t>3</w:t>
    </w:r>
    <w:r>
      <w:rPr>
        <w:rStyle w:val="PageNumber"/>
        <w:rFonts w:ascii="Arial" w:hAnsi="Arial" w:cs="Arial"/>
        <w:i/>
        <w:sz w:val="20"/>
        <w:szCs w:val="20"/>
        <w:vertAlign w:val="superscript"/>
      </w:rPr>
      <w:t>th</w:t>
    </w:r>
    <w:r>
      <w:rPr>
        <w:rStyle w:val="PageNumber"/>
        <w:rFonts w:ascii="Arial" w:hAnsi="Arial" w:cs="Arial"/>
        <w:i/>
        <w:sz w:val="20"/>
        <w:szCs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650"/>
    <w:multiLevelType w:val="multilevel"/>
    <w:tmpl w:val="ED8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FD01C2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3DAA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A9D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5D6C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B1D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5A03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0ABE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73BA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5E27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228A"/>
    <w:multiLevelType w:val="hybridMultilevel"/>
    <w:tmpl w:val="6B8C3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641A2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724F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460C3"/>
    <w:multiLevelType w:val="hybridMultilevel"/>
    <w:tmpl w:val="E4B8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420D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07A77"/>
    <w:rsid w:val="00112D26"/>
    <w:rsid w:val="00116251"/>
    <w:rsid w:val="00117695"/>
    <w:rsid w:val="00122A45"/>
    <w:rsid w:val="00126238"/>
    <w:rsid w:val="00127FA3"/>
    <w:rsid w:val="0013078E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0ECA"/>
    <w:rsid w:val="00181E06"/>
    <w:rsid w:val="001847AE"/>
    <w:rsid w:val="00187E77"/>
    <w:rsid w:val="00190938"/>
    <w:rsid w:val="00193B6D"/>
    <w:rsid w:val="001940AF"/>
    <w:rsid w:val="00194413"/>
    <w:rsid w:val="00195424"/>
    <w:rsid w:val="001A1D65"/>
    <w:rsid w:val="001B1667"/>
    <w:rsid w:val="001B35A8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177BC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3BA4"/>
    <w:rsid w:val="002569C2"/>
    <w:rsid w:val="00261D73"/>
    <w:rsid w:val="002626C4"/>
    <w:rsid w:val="00270233"/>
    <w:rsid w:val="0027531B"/>
    <w:rsid w:val="0027650F"/>
    <w:rsid w:val="002776BE"/>
    <w:rsid w:val="00281B7D"/>
    <w:rsid w:val="00282B93"/>
    <w:rsid w:val="00283217"/>
    <w:rsid w:val="0028343A"/>
    <w:rsid w:val="0028538E"/>
    <w:rsid w:val="00294BC4"/>
    <w:rsid w:val="00296233"/>
    <w:rsid w:val="00297D72"/>
    <w:rsid w:val="002A02EA"/>
    <w:rsid w:val="002A07A6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97B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34BC7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042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31F5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89F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2FDB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1FDD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013A"/>
    <w:rsid w:val="0066173C"/>
    <w:rsid w:val="00661BDD"/>
    <w:rsid w:val="00663BEB"/>
    <w:rsid w:val="006658F2"/>
    <w:rsid w:val="00672957"/>
    <w:rsid w:val="0067534B"/>
    <w:rsid w:val="00675907"/>
    <w:rsid w:val="0067743E"/>
    <w:rsid w:val="0068132D"/>
    <w:rsid w:val="0068331A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1E7B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26412"/>
    <w:rsid w:val="00830BC5"/>
    <w:rsid w:val="008312AA"/>
    <w:rsid w:val="00833314"/>
    <w:rsid w:val="00833424"/>
    <w:rsid w:val="00837B6A"/>
    <w:rsid w:val="008417F2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49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487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946CD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0CC"/>
    <w:rsid w:val="009D335D"/>
    <w:rsid w:val="009D5311"/>
    <w:rsid w:val="009D7DB9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0B17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32E2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4BFA"/>
    <w:rsid w:val="00AE647B"/>
    <w:rsid w:val="00AE7403"/>
    <w:rsid w:val="00AE7492"/>
    <w:rsid w:val="00AF0391"/>
    <w:rsid w:val="00AF27EF"/>
    <w:rsid w:val="00AF28D2"/>
    <w:rsid w:val="00AF3B1C"/>
    <w:rsid w:val="00AF4A13"/>
    <w:rsid w:val="00AF744D"/>
    <w:rsid w:val="00AF761A"/>
    <w:rsid w:val="00B00F72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0C79"/>
    <w:rsid w:val="00B430BA"/>
    <w:rsid w:val="00B45B64"/>
    <w:rsid w:val="00B45DF6"/>
    <w:rsid w:val="00B46021"/>
    <w:rsid w:val="00B463BD"/>
    <w:rsid w:val="00B518F7"/>
    <w:rsid w:val="00B523E4"/>
    <w:rsid w:val="00B56556"/>
    <w:rsid w:val="00B57D84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66B9"/>
    <w:rsid w:val="00BD78C3"/>
    <w:rsid w:val="00BE4E64"/>
    <w:rsid w:val="00BE5B22"/>
    <w:rsid w:val="00BE7F29"/>
    <w:rsid w:val="00BF4A4C"/>
    <w:rsid w:val="00BF63F6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6EA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055C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3E11"/>
    <w:rsid w:val="00E44399"/>
    <w:rsid w:val="00E455DA"/>
    <w:rsid w:val="00E467A7"/>
    <w:rsid w:val="00E51D36"/>
    <w:rsid w:val="00E51DA3"/>
    <w:rsid w:val="00E525E9"/>
    <w:rsid w:val="00E57329"/>
    <w:rsid w:val="00E624ED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13255"/>
    <w:rsid w:val="00F22B7C"/>
    <w:rsid w:val="00F2403F"/>
    <w:rsid w:val="00F243A1"/>
    <w:rsid w:val="00F24A0A"/>
    <w:rsid w:val="00F24C17"/>
    <w:rsid w:val="00F24D91"/>
    <w:rsid w:val="00F271A4"/>
    <w:rsid w:val="00F27BC5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0DF3D84-F983-49D0-B584-24F2EE5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character" w:customStyle="1" w:styleId="HeaderChar">
    <w:name w:val="Header Char"/>
    <w:basedOn w:val="DefaultParagraphFont"/>
    <w:link w:val="Header"/>
    <w:rsid w:val="00187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7D84"/>
    <w:pPr>
      <w:ind w:left="720"/>
      <w:contextualSpacing/>
    </w:pPr>
  </w:style>
  <w:style w:type="paragraph" w:customStyle="1" w:styleId="Default">
    <w:name w:val="Default"/>
    <w:rsid w:val="00F13255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13255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554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Jennifer Brandt</cp:lastModifiedBy>
  <cp:revision>38</cp:revision>
  <dcterms:created xsi:type="dcterms:W3CDTF">2017-01-11T22:46:00Z</dcterms:created>
  <dcterms:modified xsi:type="dcterms:W3CDTF">2023-08-28T16:04:00Z</dcterms:modified>
</cp:coreProperties>
</file>