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43EFA" w14:textId="77777777" w:rsidR="00173F59" w:rsidRPr="0094174A" w:rsidRDefault="004F1FBD" w:rsidP="0094174A">
      <w:pPr>
        <w:jc w:val="center"/>
        <w:rPr>
          <w:rFonts w:ascii="Arial" w:hAnsi="Arial" w:cs="Arial"/>
          <w:b/>
          <w:sz w:val="32"/>
          <w:szCs w:val="32"/>
        </w:rPr>
      </w:pPr>
      <w:r>
        <w:rPr>
          <w:rFonts w:ascii="Arial" w:hAnsi="Arial" w:cs="Arial"/>
          <w:b/>
          <w:sz w:val="32"/>
          <w:szCs w:val="32"/>
        </w:rPr>
        <w:t>Errata</w:t>
      </w:r>
    </w:p>
    <w:p w14:paraId="0290CB59" w14:textId="77777777" w:rsidR="00173F59" w:rsidRDefault="00173F59" w:rsidP="00173F59">
      <w:pPr>
        <w:rPr>
          <w:rFonts w:ascii="Times New Roman" w:hAnsi="Times New Roman"/>
        </w:rPr>
      </w:pPr>
    </w:p>
    <w:p w14:paraId="07D5D699" w14:textId="77777777" w:rsidR="0094174A" w:rsidRPr="007C0232" w:rsidRDefault="0094174A" w:rsidP="00173F59">
      <w:pPr>
        <w:rPr>
          <w:rFonts w:ascii="Times New Roman" w:hAnsi="Times New Roman"/>
        </w:rPr>
      </w:pPr>
    </w:p>
    <w:p w14:paraId="31966714" w14:textId="62D8F5C8" w:rsidR="00173F59" w:rsidRPr="007C0232" w:rsidRDefault="00173F59" w:rsidP="00173F59">
      <w:pPr>
        <w:rPr>
          <w:rFonts w:ascii="Times New Roman" w:hAnsi="Times New Roman"/>
          <w:b/>
        </w:rPr>
      </w:pPr>
      <w:r w:rsidRPr="007C0232">
        <w:rPr>
          <w:rFonts w:ascii="Times New Roman" w:hAnsi="Times New Roman"/>
        </w:rPr>
        <w:t xml:space="preserve">At Dearborn™ Real Estate Education, we are proud of our reputation for providing the most complete, current, and accurate information in all our products. We are committed to ensuring the kind of quality you rely on. Please note the following changes, which will be reflected in the next printing of </w:t>
      </w:r>
      <w:r w:rsidR="003B0434">
        <w:rPr>
          <w:rFonts w:ascii="Times New Roman" w:hAnsi="Times New Roman"/>
          <w:i/>
        </w:rPr>
        <w:t xml:space="preserve">Continuing Education for Florida Real Estate Professionals, 22E.  </w:t>
      </w:r>
      <w:r w:rsidRPr="007C0232">
        <w:rPr>
          <w:rFonts w:ascii="Times New Roman" w:hAnsi="Times New Roman"/>
        </w:rPr>
        <w:t xml:space="preserve"> </w:t>
      </w:r>
    </w:p>
    <w:p w14:paraId="71FD3D46" w14:textId="77777777" w:rsidR="00173F59" w:rsidRDefault="00173F59" w:rsidP="00173F59">
      <w:pPr>
        <w:tabs>
          <w:tab w:val="left" w:pos="1800"/>
        </w:tabs>
        <w:autoSpaceDE w:val="0"/>
        <w:autoSpaceDN w:val="0"/>
        <w:adjustRightInd w:val="0"/>
        <w:rPr>
          <w:rFonts w:ascii="Times New Roman" w:hAnsi="Times New Roman"/>
          <w:b/>
        </w:rPr>
      </w:pPr>
    </w:p>
    <w:p w14:paraId="1B24A147" w14:textId="77777777" w:rsidR="00D00B2E" w:rsidRDefault="00972340" w:rsidP="00173F59">
      <w:pPr>
        <w:tabs>
          <w:tab w:val="left" w:pos="1800"/>
        </w:tabs>
        <w:autoSpaceDE w:val="0"/>
        <w:autoSpaceDN w:val="0"/>
        <w:adjustRightInd w:val="0"/>
        <w:rPr>
          <w:rFonts w:ascii="Times New Roman" w:hAnsi="Times New Roman"/>
        </w:rPr>
      </w:pPr>
      <w:r>
        <w:rPr>
          <w:rFonts w:ascii="Times New Roman" w:hAnsi="Times New Roman"/>
        </w:rPr>
        <w:t>This document contains a running list of revisions made since the text was first printed. Depending on what printing you have of the book, these revisions may or may not be included.</w:t>
      </w:r>
    </w:p>
    <w:p w14:paraId="674BDFCE" w14:textId="3859F43D" w:rsidR="00B261C9" w:rsidRPr="007C0232" w:rsidRDefault="00B261C9" w:rsidP="00173F59">
      <w:pPr>
        <w:tabs>
          <w:tab w:val="left" w:pos="1800"/>
        </w:tabs>
        <w:autoSpaceDE w:val="0"/>
        <w:autoSpaceDN w:val="0"/>
        <w:adjustRightInd w:val="0"/>
        <w:rPr>
          <w:rFonts w:ascii="Times New Roman" w:hAnsi="Times New Roman"/>
          <w:b/>
        </w:rPr>
      </w:pPr>
    </w:p>
    <w:tbl>
      <w:tblPr>
        <w:tblW w:w="5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1"/>
        <w:gridCol w:w="3917"/>
        <w:gridCol w:w="3398"/>
      </w:tblGrid>
      <w:tr w:rsidR="00B261C9" w:rsidRPr="00B261C9" w14:paraId="1785ED02" w14:textId="77777777" w:rsidTr="00712362">
        <w:trPr>
          <w:trHeight w:val="144"/>
          <w:jc w:val="center"/>
        </w:trPr>
        <w:tc>
          <w:tcPr>
            <w:tcW w:w="3441" w:type="dxa"/>
            <w:shd w:val="clear" w:color="auto" w:fill="CCFFCC"/>
          </w:tcPr>
          <w:p w14:paraId="64D5D8D2" w14:textId="77777777" w:rsidR="00B261C9" w:rsidRPr="00B261C9" w:rsidRDefault="00B261C9" w:rsidP="00B261C9">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917" w:type="dxa"/>
            <w:shd w:val="clear" w:color="auto" w:fill="CCFFCC"/>
          </w:tcPr>
          <w:p w14:paraId="7AEBDB35" w14:textId="77777777"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398" w:type="dxa"/>
            <w:shd w:val="clear" w:color="auto" w:fill="CCFFCC"/>
          </w:tcPr>
          <w:p w14:paraId="4545882D" w14:textId="77777777"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B261C9" w:rsidRPr="00B261C9" w14:paraId="3BF6676C" w14:textId="77777777" w:rsidTr="00712362">
        <w:trPr>
          <w:trHeight w:val="150"/>
          <w:jc w:val="center"/>
        </w:trPr>
        <w:tc>
          <w:tcPr>
            <w:tcW w:w="3441" w:type="dxa"/>
          </w:tcPr>
          <w:p w14:paraId="07E22438" w14:textId="00D8F61D" w:rsidR="00635089" w:rsidRPr="00AF33C8" w:rsidRDefault="003B0434" w:rsidP="00B261C9">
            <w:pPr>
              <w:tabs>
                <w:tab w:val="left" w:pos="1800"/>
              </w:tabs>
              <w:autoSpaceDE w:val="0"/>
              <w:autoSpaceDN w:val="0"/>
              <w:adjustRightInd w:val="0"/>
              <w:rPr>
                <w:rFonts w:ascii="Times New Roman" w:hAnsi="Times New Roman"/>
              </w:rPr>
            </w:pPr>
            <w:r>
              <w:rPr>
                <w:rFonts w:ascii="Times New Roman" w:hAnsi="Times New Roman"/>
              </w:rPr>
              <w:t>p. 165 Answer Key for Unit 5</w:t>
            </w:r>
            <w:r w:rsidR="00635089">
              <w:rPr>
                <w:rFonts w:ascii="Times New Roman" w:hAnsi="Times New Roman"/>
              </w:rPr>
              <w:t>, Q 9</w:t>
            </w:r>
          </w:p>
        </w:tc>
        <w:tc>
          <w:tcPr>
            <w:tcW w:w="3917" w:type="dxa"/>
          </w:tcPr>
          <w:p w14:paraId="09943E8E" w14:textId="392DD8FD" w:rsidR="00B261C9" w:rsidRPr="00AF33C8" w:rsidRDefault="003B0434" w:rsidP="00C26D47">
            <w:pPr>
              <w:rPr>
                <w:rFonts w:ascii="Times New Roman" w:hAnsi="Times New Roman"/>
              </w:rPr>
            </w:pPr>
            <w:r>
              <w:rPr>
                <w:rFonts w:ascii="Times New Roman" w:hAnsi="Times New Roman"/>
              </w:rPr>
              <w:t>The statement is true.</w:t>
            </w:r>
          </w:p>
        </w:tc>
        <w:tc>
          <w:tcPr>
            <w:tcW w:w="3398" w:type="dxa"/>
          </w:tcPr>
          <w:p w14:paraId="173088A2" w14:textId="5E46CE96" w:rsidR="00B261C9" w:rsidRPr="00AF33C8" w:rsidRDefault="003B0434" w:rsidP="00C26D47">
            <w:pPr>
              <w:tabs>
                <w:tab w:val="left" w:pos="1800"/>
              </w:tabs>
              <w:autoSpaceDE w:val="0"/>
              <w:autoSpaceDN w:val="0"/>
              <w:adjustRightInd w:val="0"/>
              <w:rPr>
                <w:rFonts w:ascii="Times New Roman" w:hAnsi="Times New Roman"/>
              </w:rPr>
            </w:pPr>
            <w:r>
              <w:rPr>
                <w:rFonts w:ascii="Times New Roman" w:hAnsi="Times New Roman"/>
              </w:rPr>
              <w:t xml:space="preserve">The statement is false. </w:t>
            </w:r>
            <w:r w:rsidR="00635089">
              <w:rPr>
                <w:rFonts w:ascii="Times New Roman" w:hAnsi="Times New Roman"/>
              </w:rPr>
              <w:t>Answer b.</w:t>
            </w:r>
          </w:p>
        </w:tc>
      </w:tr>
      <w:tr w:rsidR="00B20D6C" w:rsidRPr="00B261C9" w14:paraId="4D46763D" w14:textId="77777777" w:rsidTr="00712362">
        <w:trPr>
          <w:trHeight w:val="150"/>
          <w:jc w:val="center"/>
        </w:trPr>
        <w:tc>
          <w:tcPr>
            <w:tcW w:w="3441" w:type="dxa"/>
          </w:tcPr>
          <w:p w14:paraId="76EA7964" w14:textId="774AABD5" w:rsidR="00B20D6C" w:rsidRPr="00B20D6C" w:rsidRDefault="00982BAF" w:rsidP="00B261C9">
            <w:pPr>
              <w:tabs>
                <w:tab w:val="left" w:pos="1800"/>
              </w:tabs>
              <w:autoSpaceDE w:val="0"/>
              <w:autoSpaceDN w:val="0"/>
              <w:adjustRightInd w:val="0"/>
              <w:rPr>
                <w:rFonts w:ascii="Times New Roman" w:hAnsi="Times New Roman"/>
              </w:rPr>
            </w:pPr>
            <w:r>
              <w:rPr>
                <w:rFonts w:ascii="Times New Roman" w:hAnsi="Times New Roman"/>
              </w:rPr>
              <w:t>p. 14 Exceptions to the Conflicting Demands</w:t>
            </w:r>
          </w:p>
        </w:tc>
        <w:tc>
          <w:tcPr>
            <w:tcW w:w="3917" w:type="dxa"/>
          </w:tcPr>
          <w:p w14:paraId="1C093492" w14:textId="77777777" w:rsidR="00982BAF" w:rsidRPr="00982BAF" w:rsidRDefault="00982BAF" w:rsidP="00982BAF">
            <w:pPr>
              <w:autoSpaceDE w:val="0"/>
              <w:autoSpaceDN w:val="0"/>
              <w:adjustRightInd w:val="0"/>
              <w:rPr>
                <w:rFonts w:ascii="Times New Roman MT Std" w:hAnsi="Times New Roman MT Std" w:cs="Times New Roman MT Std"/>
                <w:color w:val="000000"/>
              </w:rPr>
            </w:pPr>
          </w:p>
          <w:p w14:paraId="28327D9D" w14:textId="77777777" w:rsidR="00982BAF" w:rsidRPr="00982BAF" w:rsidRDefault="00982BAF" w:rsidP="00982BAF">
            <w:pPr>
              <w:autoSpaceDE w:val="0"/>
              <w:autoSpaceDN w:val="0"/>
              <w:adjustRightInd w:val="0"/>
              <w:rPr>
                <w:rFonts w:ascii="Times New Roman MT Std" w:hAnsi="Times New Roman MT Std"/>
              </w:rPr>
            </w:pPr>
          </w:p>
          <w:p w14:paraId="3409A8D5" w14:textId="77777777" w:rsidR="00982BAF" w:rsidRPr="00982BAF" w:rsidRDefault="00982BAF" w:rsidP="00982BAF">
            <w:pPr>
              <w:pStyle w:val="ListParagraph"/>
              <w:numPr>
                <w:ilvl w:val="0"/>
                <w:numId w:val="2"/>
              </w:numPr>
              <w:autoSpaceDE w:val="0"/>
              <w:autoSpaceDN w:val="0"/>
              <w:adjustRightInd w:val="0"/>
              <w:rPr>
                <w:rFonts w:ascii="Times New Roman MT Std" w:hAnsi="Times New Roman MT Std"/>
                <w:color w:val="211D1E"/>
                <w:sz w:val="20"/>
                <w:szCs w:val="20"/>
              </w:rPr>
            </w:pPr>
            <w:r w:rsidRPr="00982BAF">
              <w:rPr>
                <w:rFonts w:ascii="Times New Roman MT Std" w:hAnsi="Times New Roman MT Std"/>
                <w:color w:val="211D1E"/>
                <w:sz w:val="20"/>
                <w:szCs w:val="20"/>
              </w:rPr>
              <w:t>the funds concern a HUD contract for HUD-owned property, in which case the broker must follow HUD’s Agreement to Abide, Broker Participation Requirements. (61J2-10.032 (4))</w:t>
            </w:r>
          </w:p>
          <w:p w14:paraId="1C3FE565" w14:textId="77777777" w:rsidR="00B20D6C" w:rsidRPr="00B20D6C" w:rsidRDefault="00B20D6C" w:rsidP="00B20D6C">
            <w:pPr>
              <w:tabs>
                <w:tab w:val="left" w:pos="1800"/>
              </w:tabs>
              <w:autoSpaceDE w:val="0"/>
              <w:autoSpaceDN w:val="0"/>
              <w:adjustRightInd w:val="0"/>
              <w:rPr>
                <w:rFonts w:ascii="Times New Roman" w:hAnsi="Times New Roman"/>
              </w:rPr>
            </w:pPr>
          </w:p>
        </w:tc>
        <w:tc>
          <w:tcPr>
            <w:tcW w:w="3398" w:type="dxa"/>
          </w:tcPr>
          <w:p w14:paraId="5A50151A" w14:textId="41FFE8FF" w:rsidR="00B20D6C" w:rsidRPr="00B20D6C" w:rsidRDefault="00982BAF" w:rsidP="00B20D6C">
            <w:pPr>
              <w:tabs>
                <w:tab w:val="left" w:pos="1800"/>
              </w:tabs>
              <w:autoSpaceDE w:val="0"/>
              <w:autoSpaceDN w:val="0"/>
              <w:adjustRightInd w:val="0"/>
              <w:rPr>
                <w:rFonts w:ascii="Times New Roman" w:hAnsi="Times New Roman"/>
              </w:rPr>
            </w:pPr>
            <w:r>
              <w:rPr>
                <w:rFonts w:ascii="Times New Roman" w:hAnsi="Times New Roman"/>
              </w:rPr>
              <w:t xml:space="preserve">Removed, </w:t>
            </w:r>
            <w:r w:rsidRPr="00982BAF">
              <w:rPr>
                <w:rFonts w:ascii="Times New Roman" w:hAnsi="Times New Roman"/>
              </w:rPr>
              <w:t>HUD’s Agreement to Abide no longer exists.</w:t>
            </w:r>
          </w:p>
        </w:tc>
      </w:tr>
      <w:tr w:rsidR="00ED76CF" w:rsidRPr="00B261C9" w14:paraId="72296ABE" w14:textId="77777777" w:rsidTr="00712362">
        <w:trPr>
          <w:trHeight w:val="150"/>
          <w:jc w:val="center"/>
        </w:trPr>
        <w:tc>
          <w:tcPr>
            <w:tcW w:w="3441" w:type="dxa"/>
          </w:tcPr>
          <w:p w14:paraId="3E0D10D7" w14:textId="0F98B9FE" w:rsidR="00ED76CF" w:rsidRDefault="00982BAF" w:rsidP="00B261C9">
            <w:pPr>
              <w:tabs>
                <w:tab w:val="left" w:pos="1800"/>
              </w:tabs>
              <w:autoSpaceDE w:val="0"/>
              <w:autoSpaceDN w:val="0"/>
              <w:adjustRightInd w:val="0"/>
              <w:rPr>
                <w:rFonts w:ascii="Times New Roman" w:hAnsi="Times New Roman"/>
              </w:rPr>
            </w:pPr>
            <w:r>
              <w:rPr>
                <w:rFonts w:ascii="Times New Roman" w:hAnsi="Times New Roman"/>
              </w:rPr>
              <w:t>p. 18 Procedure for Filing a Complaint</w:t>
            </w:r>
          </w:p>
        </w:tc>
        <w:tc>
          <w:tcPr>
            <w:tcW w:w="3917" w:type="dxa"/>
          </w:tcPr>
          <w:p w14:paraId="34B4AB50" w14:textId="77777777" w:rsidR="00982BAF" w:rsidRPr="00982BAF" w:rsidRDefault="00982BAF" w:rsidP="00982BAF">
            <w:pPr>
              <w:autoSpaceDE w:val="0"/>
              <w:autoSpaceDN w:val="0"/>
              <w:adjustRightInd w:val="0"/>
              <w:rPr>
                <w:rFonts w:ascii="Times New Roman MT Std" w:hAnsi="Times New Roman MT Std" w:cs="Times New Roman MT Std"/>
                <w:color w:val="000000"/>
              </w:rPr>
            </w:pPr>
          </w:p>
          <w:p w14:paraId="164BCE2B" w14:textId="121CEC04" w:rsidR="00ED76CF" w:rsidRPr="00B20D6C" w:rsidRDefault="00982BAF" w:rsidP="00982BAF">
            <w:pPr>
              <w:tabs>
                <w:tab w:val="left" w:pos="1800"/>
              </w:tabs>
              <w:autoSpaceDE w:val="0"/>
              <w:autoSpaceDN w:val="0"/>
              <w:adjustRightInd w:val="0"/>
              <w:rPr>
                <w:rFonts w:ascii="Times New Roman" w:hAnsi="Times New Roman"/>
              </w:rPr>
            </w:pPr>
            <w:r w:rsidRPr="00982BAF">
              <w:rPr>
                <w:rFonts w:ascii="Times New Roman MT Std" w:hAnsi="Times New Roman MT Std"/>
                <w:color w:val="211D1E"/>
                <w:sz w:val="20"/>
                <w:szCs w:val="20"/>
              </w:rPr>
              <w:t>If the licensee fails to answer the formal complaint within 20 days, normally the licensee’s license is revoked.</w:t>
            </w:r>
          </w:p>
        </w:tc>
        <w:tc>
          <w:tcPr>
            <w:tcW w:w="3398" w:type="dxa"/>
          </w:tcPr>
          <w:p w14:paraId="7530F4BA" w14:textId="2F1BC4B3" w:rsidR="00ED76CF" w:rsidRDefault="00982BAF" w:rsidP="00B20D6C">
            <w:pPr>
              <w:tabs>
                <w:tab w:val="left" w:pos="1800"/>
              </w:tabs>
              <w:autoSpaceDE w:val="0"/>
              <w:autoSpaceDN w:val="0"/>
              <w:adjustRightInd w:val="0"/>
              <w:rPr>
                <w:rFonts w:ascii="Times New Roman" w:hAnsi="Times New Roman"/>
              </w:rPr>
            </w:pPr>
            <w:r>
              <w:rPr>
                <w:rFonts w:ascii="Times New Roman" w:hAnsi="Times New Roman"/>
              </w:rPr>
              <w:t xml:space="preserve">Removed, this is rarely done. </w:t>
            </w:r>
          </w:p>
        </w:tc>
      </w:tr>
      <w:tr w:rsidR="00ED76CF" w:rsidRPr="00B261C9" w14:paraId="41F17FCF" w14:textId="77777777" w:rsidTr="00712362">
        <w:trPr>
          <w:trHeight w:val="150"/>
          <w:jc w:val="center"/>
        </w:trPr>
        <w:tc>
          <w:tcPr>
            <w:tcW w:w="3441" w:type="dxa"/>
          </w:tcPr>
          <w:p w14:paraId="4DD00433" w14:textId="2D1E9842" w:rsidR="00ED76CF" w:rsidRDefault="00982BAF" w:rsidP="00B261C9">
            <w:pPr>
              <w:tabs>
                <w:tab w:val="left" w:pos="1800"/>
              </w:tabs>
              <w:autoSpaceDE w:val="0"/>
              <w:autoSpaceDN w:val="0"/>
              <w:adjustRightInd w:val="0"/>
              <w:rPr>
                <w:rFonts w:ascii="Times New Roman" w:hAnsi="Times New Roman"/>
              </w:rPr>
            </w:pPr>
            <w:r>
              <w:rPr>
                <w:rFonts w:ascii="Times New Roman" w:hAnsi="Times New Roman"/>
              </w:rPr>
              <w:t>p. 19 Tell DBPR if You Have Been Convicted</w:t>
            </w:r>
          </w:p>
        </w:tc>
        <w:tc>
          <w:tcPr>
            <w:tcW w:w="3917" w:type="dxa"/>
          </w:tcPr>
          <w:p w14:paraId="5CFC4AC5" w14:textId="77777777" w:rsidR="00982BAF" w:rsidRPr="00982BAF" w:rsidRDefault="00982BAF" w:rsidP="00982BAF">
            <w:pPr>
              <w:autoSpaceDE w:val="0"/>
              <w:autoSpaceDN w:val="0"/>
              <w:adjustRightInd w:val="0"/>
              <w:rPr>
                <w:rFonts w:ascii="Times New Roman MT Std" w:hAnsi="Times New Roman MT Std" w:cs="Times New Roman MT Std"/>
                <w:color w:val="000000"/>
              </w:rPr>
            </w:pPr>
          </w:p>
          <w:p w14:paraId="403DFC8F" w14:textId="55CD46E0" w:rsidR="00ED76CF" w:rsidRDefault="00982BAF" w:rsidP="00982BAF">
            <w:pPr>
              <w:tabs>
                <w:tab w:val="left" w:pos="1800"/>
              </w:tabs>
              <w:autoSpaceDE w:val="0"/>
              <w:autoSpaceDN w:val="0"/>
              <w:adjustRightInd w:val="0"/>
              <w:rPr>
                <w:rFonts w:ascii="Times New Roman" w:hAnsi="Times New Roman"/>
              </w:rPr>
            </w:pPr>
            <w:r w:rsidRPr="00982BAF">
              <w:rPr>
                <w:rFonts w:ascii="Times New Roman MT Std" w:hAnsi="Times New Roman MT Std"/>
                <w:color w:val="211D1E"/>
                <w:sz w:val="20"/>
                <w:szCs w:val="20"/>
              </w:rPr>
              <w:t>If the plea or conviction took place before the effec</w:t>
            </w:r>
            <w:r w:rsidRPr="00982BAF">
              <w:rPr>
                <w:rFonts w:ascii="Times New Roman MT Std" w:hAnsi="Times New Roman MT Std"/>
                <w:color w:val="211D1E"/>
                <w:sz w:val="20"/>
                <w:szCs w:val="20"/>
              </w:rPr>
              <w:softHyphen/>
              <w:t>tive date of this law (July 1, 2009)</w:t>
            </w:r>
          </w:p>
        </w:tc>
        <w:tc>
          <w:tcPr>
            <w:tcW w:w="3398" w:type="dxa"/>
          </w:tcPr>
          <w:p w14:paraId="7D203D12" w14:textId="77777777" w:rsidR="00982BAF" w:rsidRPr="00982BAF" w:rsidRDefault="00982BAF" w:rsidP="00982BAF">
            <w:pPr>
              <w:autoSpaceDE w:val="0"/>
              <w:autoSpaceDN w:val="0"/>
              <w:adjustRightInd w:val="0"/>
              <w:rPr>
                <w:rFonts w:ascii="Times New Roman MT Std" w:hAnsi="Times New Roman MT Std" w:cs="Times New Roman MT Std"/>
                <w:color w:val="000000"/>
              </w:rPr>
            </w:pPr>
          </w:p>
          <w:p w14:paraId="250EC03C" w14:textId="02C09864" w:rsidR="00ED76CF" w:rsidRDefault="00982BAF" w:rsidP="00982BAF">
            <w:pPr>
              <w:tabs>
                <w:tab w:val="left" w:pos="1800"/>
              </w:tabs>
              <w:autoSpaceDE w:val="0"/>
              <w:autoSpaceDN w:val="0"/>
              <w:adjustRightInd w:val="0"/>
              <w:rPr>
                <w:rFonts w:ascii="Times New Roman" w:hAnsi="Times New Roman"/>
              </w:rPr>
            </w:pPr>
            <w:r w:rsidRPr="00982BAF">
              <w:rPr>
                <w:rFonts w:ascii="Times New Roman MT Std" w:hAnsi="Times New Roman MT Std"/>
                <w:color w:val="211D1E"/>
                <w:sz w:val="20"/>
                <w:szCs w:val="20"/>
              </w:rPr>
              <w:t>If the plea or conviction took place before the effec</w:t>
            </w:r>
            <w:r w:rsidRPr="00982BAF">
              <w:rPr>
                <w:rFonts w:ascii="Times New Roman MT Std" w:hAnsi="Times New Roman MT Std"/>
                <w:color w:val="211D1E"/>
                <w:sz w:val="20"/>
                <w:szCs w:val="20"/>
              </w:rPr>
              <w:softHyphen/>
              <w:t>tive date of this law (</w:t>
            </w:r>
            <w:r>
              <w:rPr>
                <w:rFonts w:ascii="Times New Roman MT Std" w:hAnsi="Times New Roman MT Std"/>
                <w:color w:val="211D1E"/>
                <w:sz w:val="20"/>
                <w:szCs w:val="20"/>
              </w:rPr>
              <w:t xml:space="preserve">October </w:t>
            </w:r>
            <w:r w:rsidRPr="00982BAF">
              <w:rPr>
                <w:rFonts w:ascii="Times New Roman MT Std" w:hAnsi="Times New Roman MT Std"/>
                <w:color w:val="211D1E"/>
                <w:sz w:val="20"/>
                <w:szCs w:val="20"/>
              </w:rPr>
              <w:t>1, 2009)</w:t>
            </w:r>
          </w:p>
        </w:tc>
      </w:tr>
      <w:tr w:rsidR="00ED76CF" w:rsidRPr="00B261C9" w14:paraId="65C37A8B" w14:textId="77777777" w:rsidTr="00712362">
        <w:trPr>
          <w:trHeight w:val="150"/>
          <w:jc w:val="center"/>
        </w:trPr>
        <w:tc>
          <w:tcPr>
            <w:tcW w:w="3441" w:type="dxa"/>
          </w:tcPr>
          <w:p w14:paraId="6A887518" w14:textId="3386AB8E" w:rsidR="00ED76CF" w:rsidRDefault="00982BAF" w:rsidP="00B261C9">
            <w:pPr>
              <w:tabs>
                <w:tab w:val="left" w:pos="1800"/>
              </w:tabs>
              <w:autoSpaceDE w:val="0"/>
              <w:autoSpaceDN w:val="0"/>
              <w:adjustRightInd w:val="0"/>
              <w:rPr>
                <w:rFonts w:ascii="Times New Roman" w:hAnsi="Times New Roman"/>
              </w:rPr>
            </w:pPr>
            <w:r>
              <w:rPr>
                <w:rFonts w:ascii="Times New Roman" w:hAnsi="Times New Roman"/>
              </w:rPr>
              <w:t>p. 19 Citation</w:t>
            </w:r>
          </w:p>
        </w:tc>
        <w:tc>
          <w:tcPr>
            <w:tcW w:w="3917" w:type="dxa"/>
          </w:tcPr>
          <w:p w14:paraId="39DC3F9D" w14:textId="77777777" w:rsidR="00982BAF" w:rsidRPr="00982BAF" w:rsidRDefault="00982BAF" w:rsidP="00982BAF">
            <w:pPr>
              <w:autoSpaceDE w:val="0"/>
              <w:autoSpaceDN w:val="0"/>
              <w:adjustRightInd w:val="0"/>
              <w:rPr>
                <w:rFonts w:ascii="Times New Roman MT Std" w:hAnsi="Times New Roman MT Std" w:cs="Times New Roman MT Std"/>
                <w:color w:val="000000"/>
              </w:rPr>
            </w:pPr>
          </w:p>
          <w:p w14:paraId="1000FAD4" w14:textId="51814EF6" w:rsidR="00ED76CF" w:rsidRDefault="00982BAF" w:rsidP="00982BAF">
            <w:pPr>
              <w:tabs>
                <w:tab w:val="left" w:pos="1800"/>
              </w:tabs>
              <w:autoSpaceDE w:val="0"/>
              <w:autoSpaceDN w:val="0"/>
              <w:adjustRightInd w:val="0"/>
              <w:rPr>
                <w:rFonts w:ascii="Times New Roman" w:hAnsi="Times New Roman"/>
              </w:rPr>
            </w:pPr>
            <w:r w:rsidRPr="00982BAF">
              <w:rPr>
                <w:rFonts w:ascii="Times New Roman MT Std" w:hAnsi="Times New Roman MT Std"/>
                <w:color w:val="211D1E"/>
                <w:sz w:val="20"/>
                <w:szCs w:val="20"/>
              </w:rPr>
              <w:t>usually require that a licensee either pay a fine from $100 to $500 within</w:t>
            </w:r>
          </w:p>
        </w:tc>
        <w:tc>
          <w:tcPr>
            <w:tcW w:w="3398" w:type="dxa"/>
          </w:tcPr>
          <w:p w14:paraId="7C5BD73F" w14:textId="77777777" w:rsidR="00982BAF" w:rsidRPr="00982BAF" w:rsidRDefault="00982BAF" w:rsidP="00982BAF">
            <w:pPr>
              <w:autoSpaceDE w:val="0"/>
              <w:autoSpaceDN w:val="0"/>
              <w:adjustRightInd w:val="0"/>
              <w:rPr>
                <w:rFonts w:ascii="Times New Roman MT Std" w:hAnsi="Times New Roman MT Std" w:cs="Times New Roman MT Std"/>
                <w:color w:val="000000"/>
              </w:rPr>
            </w:pPr>
          </w:p>
          <w:p w14:paraId="10A35A14" w14:textId="1DC69E23" w:rsidR="00ED76CF" w:rsidRDefault="00982BAF" w:rsidP="00982BAF">
            <w:pPr>
              <w:tabs>
                <w:tab w:val="left" w:pos="1800"/>
              </w:tabs>
              <w:autoSpaceDE w:val="0"/>
              <w:autoSpaceDN w:val="0"/>
              <w:adjustRightInd w:val="0"/>
              <w:rPr>
                <w:rFonts w:ascii="Times New Roman" w:hAnsi="Times New Roman"/>
              </w:rPr>
            </w:pPr>
            <w:r w:rsidRPr="00982BAF">
              <w:rPr>
                <w:rFonts w:ascii="Times New Roman MT Std" w:hAnsi="Times New Roman MT Std"/>
                <w:color w:val="211D1E"/>
                <w:sz w:val="20"/>
                <w:szCs w:val="20"/>
              </w:rPr>
              <w:t xml:space="preserve">usually require that a licensee either pay a fine from </w:t>
            </w:r>
            <w:r>
              <w:rPr>
                <w:rFonts w:ascii="Times New Roman MT Std" w:hAnsi="Times New Roman MT Std"/>
                <w:color w:val="211D1E"/>
                <w:sz w:val="20"/>
                <w:szCs w:val="20"/>
              </w:rPr>
              <w:t>$25</w:t>
            </w:r>
            <w:r w:rsidRPr="00982BAF">
              <w:rPr>
                <w:rFonts w:ascii="Times New Roman MT Std" w:hAnsi="Times New Roman MT Std"/>
                <w:color w:val="211D1E"/>
                <w:sz w:val="20"/>
                <w:szCs w:val="20"/>
              </w:rPr>
              <w:t>0 to $</w:t>
            </w:r>
            <w:r>
              <w:rPr>
                <w:rFonts w:ascii="Times New Roman MT Std" w:hAnsi="Times New Roman MT Std"/>
                <w:color w:val="211D1E"/>
                <w:sz w:val="20"/>
                <w:szCs w:val="20"/>
              </w:rPr>
              <w:t>1,0</w:t>
            </w:r>
            <w:r w:rsidRPr="00982BAF">
              <w:rPr>
                <w:rFonts w:ascii="Times New Roman MT Std" w:hAnsi="Times New Roman MT Std"/>
                <w:color w:val="211D1E"/>
                <w:sz w:val="20"/>
                <w:szCs w:val="20"/>
              </w:rPr>
              <w:t>00 within</w:t>
            </w:r>
          </w:p>
        </w:tc>
      </w:tr>
      <w:tr w:rsidR="00E705E2" w:rsidRPr="00B261C9" w14:paraId="38B3BDFD" w14:textId="77777777" w:rsidTr="00712362">
        <w:trPr>
          <w:trHeight w:val="150"/>
          <w:jc w:val="center"/>
        </w:trPr>
        <w:tc>
          <w:tcPr>
            <w:tcW w:w="3441" w:type="dxa"/>
          </w:tcPr>
          <w:p w14:paraId="250BE344" w14:textId="73284586" w:rsidR="00E705E2" w:rsidRDefault="00E705E2" w:rsidP="00B261C9">
            <w:pPr>
              <w:tabs>
                <w:tab w:val="left" w:pos="1800"/>
              </w:tabs>
              <w:autoSpaceDE w:val="0"/>
              <w:autoSpaceDN w:val="0"/>
              <w:adjustRightInd w:val="0"/>
              <w:rPr>
                <w:rFonts w:ascii="Times New Roman" w:hAnsi="Times New Roman"/>
              </w:rPr>
            </w:pPr>
            <w:r>
              <w:rPr>
                <w:rFonts w:ascii="Times New Roman" w:hAnsi="Times New Roman"/>
              </w:rPr>
              <w:t>p. 25 Milestone Inspections</w:t>
            </w:r>
          </w:p>
        </w:tc>
        <w:tc>
          <w:tcPr>
            <w:tcW w:w="3917" w:type="dxa"/>
          </w:tcPr>
          <w:p w14:paraId="153AC8D2" w14:textId="77777777" w:rsidR="00E705E2" w:rsidRPr="00E705E2" w:rsidRDefault="00E705E2" w:rsidP="00E705E2">
            <w:pPr>
              <w:autoSpaceDE w:val="0"/>
              <w:autoSpaceDN w:val="0"/>
              <w:adjustRightInd w:val="0"/>
              <w:rPr>
                <w:rFonts w:ascii="Times New Roman MT Std" w:hAnsi="Times New Roman MT Std" w:cs="Times New Roman MT Std"/>
                <w:color w:val="000000"/>
              </w:rPr>
            </w:pPr>
          </w:p>
          <w:p w14:paraId="541A727B" w14:textId="0B36DFC2" w:rsidR="00E705E2" w:rsidRPr="00982BAF" w:rsidRDefault="00E705E2" w:rsidP="00E705E2">
            <w:pPr>
              <w:autoSpaceDE w:val="0"/>
              <w:autoSpaceDN w:val="0"/>
              <w:adjustRightInd w:val="0"/>
              <w:rPr>
                <w:rFonts w:ascii="Times New Roman MT Std" w:hAnsi="Times New Roman MT Std" w:cs="Times New Roman MT Std"/>
                <w:color w:val="000000"/>
              </w:rPr>
            </w:pPr>
            <w:r w:rsidRPr="00E705E2">
              <w:rPr>
                <w:rFonts w:ascii="Times New Roman MT Std" w:hAnsi="Times New Roman MT Std"/>
                <w:color w:val="211D1E"/>
                <w:sz w:val="20"/>
                <w:szCs w:val="20"/>
              </w:rPr>
              <w:t>30 years of age because of proximity to the coastline or other environmental conditions.</w:t>
            </w:r>
          </w:p>
        </w:tc>
        <w:tc>
          <w:tcPr>
            <w:tcW w:w="3398" w:type="dxa"/>
          </w:tcPr>
          <w:p w14:paraId="4045998B" w14:textId="77777777" w:rsidR="00E705E2" w:rsidRPr="00E705E2" w:rsidRDefault="00E705E2" w:rsidP="00E705E2">
            <w:pPr>
              <w:autoSpaceDE w:val="0"/>
              <w:autoSpaceDN w:val="0"/>
              <w:adjustRightInd w:val="0"/>
              <w:rPr>
                <w:rFonts w:ascii="Times New Roman MT Std" w:hAnsi="Times New Roman MT Std" w:cs="Times New Roman MT Std"/>
                <w:color w:val="000000"/>
              </w:rPr>
            </w:pPr>
          </w:p>
          <w:p w14:paraId="15A6BD2A" w14:textId="045C35CC" w:rsidR="00E705E2" w:rsidRPr="00982BAF" w:rsidRDefault="00E705E2" w:rsidP="00E705E2">
            <w:pPr>
              <w:autoSpaceDE w:val="0"/>
              <w:autoSpaceDN w:val="0"/>
              <w:adjustRightInd w:val="0"/>
              <w:rPr>
                <w:rFonts w:ascii="Times New Roman MT Std" w:hAnsi="Times New Roman MT Std" w:cs="Times New Roman MT Std"/>
                <w:color w:val="000000"/>
              </w:rPr>
            </w:pPr>
            <w:r w:rsidRPr="00E705E2">
              <w:rPr>
                <w:rFonts w:ascii="Times New Roman MT Std" w:hAnsi="Times New Roman MT Std"/>
                <w:color w:val="211D1E"/>
                <w:sz w:val="20"/>
                <w:szCs w:val="20"/>
              </w:rPr>
              <w:t>30 years of age</w:t>
            </w:r>
            <w:r>
              <w:rPr>
                <w:rFonts w:ascii="Times New Roman MT Std" w:hAnsi="Times New Roman MT Std"/>
                <w:color w:val="211D1E"/>
                <w:sz w:val="20"/>
                <w:szCs w:val="20"/>
              </w:rPr>
              <w:t xml:space="preserve">. In cases of environmental conditions or proximity to the coastline, local authorities may require an inspection when the building is 25 years old. </w:t>
            </w:r>
          </w:p>
        </w:tc>
      </w:tr>
      <w:tr w:rsidR="00E705E2" w:rsidRPr="00B261C9" w14:paraId="009F91FE" w14:textId="77777777" w:rsidTr="00712362">
        <w:trPr>
          <w:trHeight w:val="150"/>
          <w:jc w:val="center"/>
        </w:trPr>
        <w:tc>
          <w:tcPr>
            <w:tcW w:w="3441" w:type="dxa"/>
          </w:tcPr>
          <w:p w14:paraId="5996BFC6" w14:textId="4D8ABCE2" w:rsidR="00E705E2" w:rsidRDefault="00E705E2" w:rsidP="00B261C9">
            <w:pPr>
              <w:tabs>
                <w:tab w:val="left" w:pos="1800"/>
              </w:tabs>
              <w:autoSpaceDE w:val="0"/>
              <w:autoSpaceDN w:val="0"/>
              <w:adjustRightInd w:val="0"/>
              <w:rPr>
                <w:rFonts w:ascii="Times New Roman" w:hAnsi="Times New Roman"/>
              </w:rPr>
            </w:pPr>
            <w:r>
              <w:rPr>
                <w:rFonts w:ascii="Times New Roman" w:hAnsi="Times New Roman"/>
              </w:rPr>
              <w:t>p. 47 Question 4</w:t>
            </w:r>
          </w:p>
        </w:tc>
        <w:tc>
          <w:tcPr>
            <w:tcW w:w="3917" w:type="dxa"/>
          </w:tcPr>
          <w:p w14:paraId="0747ED45" w14:textId="54A6B88A" w:rsidR="00E705E2" w:rsidRPr="00982BAF" w:rsidRDefault="00E705E2" w:rsidP="00982BAF">
            <w:pPr>
              <w:autoSpaceDE w:val="0"/>
              <w:autoSpaceDN w:val="0"/>
              <w:adjustRightInd w:val="0"/>
              <w:rPr>
                <w:rFonts w:ascii="Times New Roman MT Std" w:hAnsi="Times New Roman MT Std" w:cs="Times New Roman MT Std"/>
                <w:color w:val="000000"/>
              </w:rPr>
            </w:pPr>
            <w:r>
              <w:rPr>
                <w:rFonts w:ascii="Times New Roman MT Std" w:hAnsi="Times New Roman MT Std" w:cs="Times New Roman MT Std"/>
                <w:color w:val="000000"/>
              </w:rPr>
              <w:t>that an action might be prudential,</w:t>
            </w:r>
          </w:p>
        </w:tc>
        <w:tc>
          <w:tcPr>
            <w:tcW w:w="3398" w:type="dxa"/>
          </w:tcPr>
          <w:p w14:paraId="6D66177A" w14:textId="7E9FD476" w:rsidR="00E705E2" w:rsidRPr="00982BAF" w:rsidRDefault="00E705E2" w:rsidP="00982BAF">
            <w:pPr>
              <w:autoSpaceDE w:val="0"/>
              <w:autoSpaceDN w:val="0"/>
              <w:adjustRightInd w:val="0"/>
              <w:rPr>
                <w:rFonts w:ascii="Times New Roman MT Std" w:hAnsi="Times New Roman MT Std" w:cs="Times New Roman MT Std"/>
                <w:color w:val="000000"/>
              </w:rPr>
            </w:pPr>
            <w:r>
              <w:rPr>
                <w:rFonts w:ascii="Times New Roman MT Std" w:hAnsi="Times New Roman MT Std" w:cs="Times New Roman MT Std"/>
                <w:color w:val="000000"/>
              </w:rPr>
              <w:t xml:space="preserve">that an action might be legal, </w:t>
            </w:r>
          </w:p>
        </w:tc>
      </w:tr>
      <w:tr w:rsidR="00E705E2" w:rsidRPr="00B261C9" w14:paraId="239B2AD0" w14:textId="77777777" w:rsidTr="00712362">
        <w:trPr>
          <w:trHeight w:val="150"/>
          <w:jc w:val="center"/>
        </w:trPr>
        <w:tc>
          <w:tcPr>
            <w:tcW w:w="3441" w:type="dxa"/>
          </w:tcPr>
          <w:p w14:paraId="17343B1D" w14:textId="5E38E765" w:rsidR="00E705E2" w:rsidRDefault="00E705E2" w:rsidP="00B261C9">
            <w:pPr>
              <w:tabs>
                <w:tab w:val="left" w:pos="1800"/>
              </w:tabs>
              <w:autoSpaceDE w:val="0"/>
              <w:autoSpaceDN w:val="0"/>
              <w:adjustRightInd w:val="0"/>
              <w:rPr>
                <w:rFonts w:ascii="Times New Roman" w:hAnsi="Times New Roman"/>
              </w:rPr>
            </w:pPr>
            <w:r>
              <w:rPr>
                <w:rFonts w:ascii="Times New Roman" w:hAnsi="Times New Roman"/>
              </w:rPr>
              <w:t xml:space="preserve">p. 58 second paragraph </w:t>
            </w:r>
          </w:p>
        </w:tc>
        <w:tc>
          <w:tcPr>
            <w:tcW w:w="3917" w:type="dxa"/>
          </w:tcPr>
          <w:p w14:paraId="34FBA714" w14:textId="77777777" w:rsidR="00E705E2" w:rsidRPr="00E705E2" w:rsidRDefault="00E705E2" w:rsidP="00E705E2">
            <w:pPr>
              <w:autoSpaceDE w:val="0"/>
              <w:autoSpaceDN w:val="0"/>
              <w:adjustRightInd w:val="0"/>
              <w:rPr>
                <w:rFonts w:ascii="Times New Roman MT Std" w:hAnsi="Times New Roman MT Std" w:cs="Times New Roman MT Std"/>
                <w:color w:val="000000"/>
              </w:rPr>
            </w:pPr>
          </w:p>
          <w:p w14:paraId="35458142" w14:textId="77777777" w:rsidR="00E705E2" w:rsidRPr="00E705E2" w:rsidRDefault="00E705E2" w:rsidP="00E705E2">
            <w:pPr>
              <w:autoSpaceDE w:val="0"/>
              <w:autoSpaceDN w:val="0"/>
              <w:adjustRightInd w:val="0"/>
              <w:rPr>
                <w:rFonts w:ascii="Times New Roman MT Std" w:hAnsi="Times New Roman MT Std"/>
              </w:rPr>
            </w:pPr>
          </w:p>
          <w:p w14:paraId="467C9665" w14:textId="77777777" w:rsidR="00E705E2" w:rsidRPr="00E705E2" w:rsidRDefault="00E705E2" w:rsidP="00E705E2">
            <w:pPr>
              <w:numPr>
                <w:ilvl w:val="0"/>
                <w:numId w:val="3"/>
              </w:numPr>
              <w:autoSpaceDE w:val="0"/>
              <w:autoSpaceDN w:val="0"/>
              <w:adjustRightInd w:val="0"/>
              <w:rPr>
                <w:rFonts w:ascii="Times New Roman MT Std" w:hAnsi="Times New Roman MT Std" w:cs="Times New Roman MT Std"/>
                <w:color w:val="211D1E"/>
                <w:sz w:val="20"/>
                <w:szCs w:val="20"/>
              </w:rPr>
            </w:pPr>
            <w:r w:rsidRPr="00E705E2">
              <w:rPr>
                <w:rFonts w:ascii="Times New Roman MT Std" w:hAnsi="Times New Roman MT Std"/>
                <w:b/>
                <w:bCs/>
                <w:color w:val="211D1E"/>
                <w:sz w:val="20"/>
                <w:szCs w:val="20"/>
              </w:rPr>
              <w:t xml:space="preserve">Principal: </w:t>
            </w:r>
            <w:r w:rsidRPr="00E705E2">
              <w:rPr>
                <w:rFonts w:ascii="Times New Roman MT Std" w:hAnsi="Times New Roman MT Std" w:cs="Times New Roman MT Std"/>
                <w:color w:val="211D1E"/>
                <w:sz w:val="20"/>
                <w:szCs w:val="20"/>
              </w:rPr>
              <w:t xml:space="preserve">A buyer or seller who is owed full fiduciary duties by a single agent. </w:t>
            </w:r>
          </w:p>
          <w:p w14:paraId="34A27D3B" w14:textId="77777777" w:rsidR="00E705E2" w:rsidRPr="00E705E2" w:rsidRDefault="00E705E2" w:rsidP="00E705E2">
            <w:pPr>
              <w:numPr>
                <w:ilvl w:val="0"/>
                <w:numId w:val="3"/>
              </w:numPr>
              <w:autoSpaceDE w:val="0"/>
              <w:autoSpaceDN w:val="0"/>
              <w:adjustRightInd w:val="0"/>
              <w:rPr>
                <w:rFonts w:ascii="Times New Roman MT Std" w:hAnsi="Times New Roman MT Std" w:cs="Times New Roman MT Std"/>
                <w:color w:val="211D1E"/>
                <w:sz w:val="20"/>
                <w:szCs w:val="20"/>
              </w:rPr>
            </w:pPr>
            <w:r w:rsidRPr="00E705E2">
              <w:rPr>
                <w:rFonts w:ascii="Times New Roman MT Std" w:hAnsi="Times New Roman MT Std" w:cs="Times New Roman MT Std"/>
                <w:b/>
                <w:bCs/>
                <w:color w:val="211D1E"/>
                <w:sz w:val="20"/>
                <w:szCs w:val="20"/>
              </w:rPr>
              <w:t xml:space="preserve">Customer: </w:t>
            </w:r>
            <w:r w:rsidRPr="00E705E2">
              <w:rPr>
                <w:rFonts w:ascii="Times New Roman MT Std" w:hAnsi="Times New Roman MT Std" w:cs="Times New Roman MT Std"/>
                <w:color w:val="211D1E"/>
                <w:sz w:val="20"/>
                <w:szCs w:val="20"/>
              </w:rPr>
              <w:t>A person who is not represented in a fiduciary capacity by a trans</w:t>
            </w:r>
            <w:r w:rsidRPr="00E705E2">
              <w:rPr>
                <w:rFonts w:ascii="Times New Roman MT Std" w:hAnsi="Times New Roman MT Std" w:cs="Times New Roman MT Std"/>
                <w:color w:val="211D1E"/>
                <w:sz w:val="20"/>
                <w:szCs w:val="20"/>
              </w:rPr>
              <w:softHyphen/>
              <w:t xml:space="preserve">action broker or a licensee with no brokerage relationship. </w:t>
            </w:r>
          </w:p>
          <w:p w14:paraId="49CC926B" w14:textId="58AB006C" w:rsidR="00E705E2" w:rsidRPr="00982BAF" w:rsidRDefault="00E705E2" w:rsidP="00E705E2">
            <w:pPr>
              <w:autoSpaceDE w:val="0"/>
              <w:autoSpaceDN w:val="0"/>
              <w:adjustRightInd w:val="0"/>
              <w:rPr>
                <w:rFonts w:ascii="Times New Roman MT Std" w:hAnsi="Times New Roman MT Std" w:cs="Times New Roman MT Std"/>
                <w:color w:val="000000"/>
              </w:rPr>
            </w:pPr>
            <w:r w:rsidRPr="00E705E2">
              <w:rPr>
                <w:rFonts w:ascii="Times New Roman MT Std" w:hAnsi="Times New Roman MT Std" w:cs="Times New Roman MT Std"/>
                <w:color w:val="211D1E"/>
                <w:sz w:val="20"/>
                <w:szCs w:val="20"/>
              </w:rPr>
              <w:t xml:space="preserve">Florida law prescribes specific legal duties owed by single agents to their principals, as </w:t>
            </w:r>
            <w:r w:rsidRPr="00E705E2">
              <w:rPr>
                <w:rFonts w:ascii="Times New Roman MT Std" w:hAnsi="Times New Roman MT Std" w:cs="Times New Roman MT Std"/>
                <w:color w:val="211D1E"/>
                <w:sz w:val="20"/>
                <w:szCs w:val="20"/>
              </w:rPr>
              <w:lastRenderedPageBreak/>
              <w:t>well as duties owed by transaction brokers to their customers.</w:t>
            </w:r>
          </w:p>
        </w:tc>
        <w:tc>
          <w:tcPr>
            <w:tcW w:w="3398" w:type="dxa"/>
          </w:tcPr>
          <w:p w14:paraId="2710E682" w14:textId="77777777" w:rsidR="00E705E2" w:rsidRPr="00E705E2" w:rsidRDefault="00E705E2" w:rsidP="00E705E2">
            <w:pPr>
              <w:autoSpaceDE w:val="0"/>
              <w:autoSpaceDN w:val="0"/>
              <w:adjustRightInd w:val="0"/>
              <w:rPr>
                <w:rFonts w:ascii="Times New Roman MT Std" w:hAnsi="Times New Roman MT Std" w:cs="Times New Roman MT Std"/>
                <w:color w:val="000000"/>
              </w:rPr>
            </w:pPr>
          </w:p>
          <w:p w14:paraId="4E67D31B" w14:textId="77777777" w:rsidR="00E705E2" w:rsidRPr="00E705E2" w:rsidRDefault="00E705E2" w:rsidP="00E705E2">
            <w:pPr>
              <w:autoSpaceDE w:val="0"/>
              <w:autoSpaceDN w:val="0"/>
              <w:adjustRightInd w:val="0"/>
              <w:rPr>
                <w:rFonts w:ascii="Times New Roman MT Std" w:hAnsi="Times New Roman MT Std"/>
              </w:rPr>
            </w:pPr>
          </w:p>
          <w:p w14:paraId="001A9066" w14:textId="6E976BCE" w:rsidR="00E705E2" w:rsidRPr="00E705E2" w:rsidRDefault="00E705E2" w:rsidP="00E705E2">
            <w:pPr>
              <w:numPr>
                <w:ilvl w:val="0"/>
                <w:numId w:val="3"/>
              </w:numPr>
              <w:autoSpaceDE w:val="0"/>
              <w:autoSpaceDN w:val="0"/>
              <w:adjustRightInd w:val="0"/>
              <w:rPr>
                <w:rFonts w:ascii="Times New Roman MT Std" w:hAnsi="Times New Roman MT Std" w:cs="Times New Roman MT Std"/>
                <w:color w:val="211D1E"/>
                <w:sz w:val="20"/>
                <w:szCs w:val="20"/>
              </w:rPr>
            </w:pPr>
            <w:r w:rsidRPr="00E705E2">
              <w:rPr>
                <w:rFonts w:ascii="Times New Roman MT Std" w:hAnsi="Times New Roman MT Std"/>
                <w:b/>
                <w:bCs/>
                <w:color w:val="211D1E"/>
                <w:sz w:val="20"/>
                <w:szCs w:val="20"/>
              </w:rPr>
              <w:t xml:space="preserve">Principal: </w:t>
            </w:r>
            <w:r>
              <w:rPr>
                <w:rFonts w:ascii="Times New Roman MT Std" w:hAnsi="Times New Roman MT Std" w:cs="Times New Roman MT Std"/>
                <w:color w:val="211D1E"/>
                <w:sz w:val="20"/>
                <w:szCs w:val="20"/>
              </w:rPr>
              <w:t>The party with whom a real estate licensee has entered into a single agent relationship</w:t>
            </w:r>
            <w:r w:rsidRPr="00E705E2">
              <w:rPr>
                <w:rFonts w:ascii="Times New Roman MT Std" w:hAnsi="Times New Roman MT Std" w:cs="Times New Roman MT Std"/>
                <w:color w:val="211D1E"/>
                <w:sz w:val="20"/>
                <w:szCs w:val="20"/>
              </w:rPr>
              <w:t xml:space="preserve"> </w:t>
            </w:r>
          </w:p>
          <w:p w14:paraId="16224783" w14:textId="0A77EE3C" w:rsidR="00E705E2" w:rsidRPr="00982BAF" w:rsidRDefault="00E705E2" w:rsidP="00E705E2">
            <w:pPr>
              <w:numPr>
                <w:ilvl w:val="0"/>
                <w:numId w:val="3"/>
              </w:numPr>
              <w:autoSpaceDE w:val="0"/>
              <w:autoSpaceDN w:val="0"/>
              <w:adjustRightInd w:val="0"/>
              <w:rPr>
                <w:rFonts w:ascii="Times New Roman MT Std" w:hAnsi="Times New Roman MT Std" w:cs="Times New Roman MT Std"/>
                <w:color w:val="000000"/>
              </w:rPr>
            </w:pPr>
            <w:r w:rsidRPr="00E705E2">
              <w:rPr>
                <w:rFonts w:ascii="Times New Roman MT Std" w:hAnsi="Times New Roman MT Std" w:cs="Times New Roman MT Std"/>
                <w:b/>
                <w:bCs/>
                <w:color w:val="211D1E"/>
                <w:sz w:val="20"/>
                <w:szCs w:val="20"/>
              </w:rPr>
              <w:t xml:space="preserve">Customer: </w:t>
            </w:r>
            <w:r>
              <w:rPr>
                <w:rFonts w:ascii="Times New Roman MT Std" w:hAnsi="Times New Roman MT Std" w:cs="Times New Roman MT Std"/>
                <w:color w:val="211D1E"/>
                <w:sz w:val="20"/>
                <w:szCs w:val="20"/>
              </w:rPr>
              <w:t xml:space="preserve">A member of the public who is or may be a buyer or seller of real property and may or may not be represented by a real estate licensee in </w:t>
            </w:r>
            <w:r>
              <w:rPr>
                <w:rFonts w:ascii="Times New Roman MT Std" w:hAnsi="Times New Roman MT Std" w:cs="Times New Roman MT Std"/>
                <w:color w:val="211D1E"/>
                <w:sz w:val="20"/>
                <w:szCs w:val="20"/>
              </w:rPr>
              <w:lastRenderedPageBreak/>
              <w:t xml:space="preserve">an authorized brokerage relationship. </w:t>
            </w:r>
          </w:p>
          <w:p w14:paraId="4819DF5F" w14:textId="420FA457" w:rsidR="00E705E2" w:rsidRPr="00982BAF" w:rsidRDefault="00E705E2" w:rsidP="00E705E2">
            <w:pPr>
              <w:autoSpaceDE w:val="0"/>
              <w:autoSpaceDN w:val="0"/>
              <w:adjustRightInd w:val="0"/>
              <w:rPr>
                <w:rFonts w:ascii="Times New Roman MT Std" w:hAnsi="Times New Roman MT Std" w:cs="Times New Roman MT Std"/>
                <w:color w:val="000000"/>
              </w:rPr>
            </w:pPr>
          </w:p>
        </w:tc>
      </w:tr>
      <w:tr w:rsidR="000E34F6" w:rsidRPr="00B261C9" w14:paraId="153BFFDB" w14:textId="77777777" w:rsidTr="00712362">
        <w:trPr>
          <w:trHeight w:val="150"/>
          <w:jc w:val="center"/>
        </w:trPr>
        <w:tc>
          <w:tcPr>
            <w:tcW w:w="3441" w:type="dxa"/>
          </w:tcPr>
          <w:p w14:paraId="790A5C93" w14:textId="65469A02" w:rsidR="000E34F6" w:rsidRDefault="000E34F6" w:rsidP="00B261C9">
            <w:pPr>
              <w:tabs>
                <w:tab w:val="left" w:pos="1800"/>
              </w:tabs>
              <w:autoSpaceDE w:val="0"/>
              <w:autoSpaceDN w:val="0"/>
              <w:adjustRightInd w:val="0"/>
              <w:rPr>
                <w:rFonts w:ascii="Times New Roman" w:hAnsi="Times New Roman"/>
              </w:rPr>
            </w:pPr>
            <w:r>
              <w:rPr>
                <w:rFonts w:ascii="Times New Roman" w:hAnsi="Times New Roman"/>
              </w:rPr>
              <w:lastRenderedPageBreak/>
              <w:t>p.163 Answer Key for Unit 3</w:t>
            </w:r>
          </w:p>
        </w:tc>
        <w:tc>
          <w:tcPr>
            <w:tcW w:w="3917" w:type="dxa"/>
          </w:tcPr>
          <w:p w14:paraId="1D8E76C1" w14:textId="4A01E12C" w:rsidR="000E34F6" w:rsidRPr="00E705E2" w:rsidRDefault="000E34F6" w:rsidP="00E705E2">
            <w:pPr>
              <w:autoSpaceDE w:val="0"/>
              <w:autoSpaceDN w:val="0"/>
              <w:adjustRightInd w:val="0"/>
              <w:rPr>
                <w:rFonts w:ascii="Times New Roman MT Std" w:hAnsi="Times New Roman MT Std" w:cs="Times New Roman MT Std"/>
                <w:color w:val="000000"/>
              </w:rPr>
            </w:pPr>
            <w:r>
              <w:rPr>
                <w:rFonts w:ascii="Times New Roman MT Std" w:hAnsi="Times New Roman MT Std" w:cs="Times New Roman MT Std"/>
                <w:color w:val="000000"/>
              </w:rPr>
              <w:t xml:space="preserve"> #7 The answer is b.  </w:t>
            </w:r>
          </w:p>
        </w:tc>
        <w:tc>
          <w:tcPr>
            <w:tcW w:w="3398" w:type="dxa"/>
          </w:tcPr>
          <w:p w14:paraId="7D6E8D9F" w14:textId="4E947DD2" w:rsidR="000E34F6" w:rsidRPr="00E705E2" w:rsidRDefault="000E34F6" w:rsidP="00E705E2">
            <w:pPr>
              <w:autoSpaceDE w:val="0"/>
              <w:autoSpaceDN w:val="0"/>
              <w:adjustRightInd w:val="0"/>
              <w:rPr>
                <w:rFonts w:ascii="Times New Roman MT Std" w:hAnsi="Times New Roman MT Std" w:cs="Times New Roman MT Std"/>
                <w:color w:val="000000"/>
              </w:rPr>
            </w:pPr>
            <w:r>
              <w:rPr>
                <w:rFonts w:ascii="Times New Roman MT Std" w:hAnsi="Times New Roman MT Std" w:cs="Times New Roman MT Std"/>
                <w:color w:val="000000"/>
              </w:rPr>
              <w:t xml:space="preserve">The answer is a. The answer is true. </w:t>
            </w:r>
          </w:p>
        </w:tc>
      </w:tr>
      <w:tr w:rsidR="00E476FC" w:rsidRPr="00B261C9" w14:paraId="329D222E" w14:textId="77777777" w:rsidTr="00712362">
        <w:trPr>
          <w:trHeight w:val="150"/>
          <w:jc w:val="center"/>
        </w:trPr>
        <w:tc>
          <w:tcPr>
            <w:tcW w:w="3441" w:type="dxa"/>
          </w:tcPr>
          <w:p w14:paraId="4B088B8F" w14:textId="535CF3B2" w:rsidR="00E476FC" w:rsidRDefault="00E476FC" w:rsidP="00E476FC">
            <w:pPr>
              <w:tabs>
                <w:tab w:val="left" w:pos="1800"/>
              </w:tabs>
              <w:autoSpaceDE w:val="0"/>
              <w:autoSpaceDN w:val="0"/>
              <w:adjustRightInd w:val="0"/>
              <w:rPr>
                <w:rFonts w:ascii="Times New Roman" w:hAnsi="Times New Roman"/>
              </w:rPr>
            </w:pPr>
            <w:r>
              <w:rPr>
                <w:rFonts w:ascii="Times New Roman" w:hAnsi="Times New Roman"/>
              </w:rPr>
              <w:t>p.117</w:t>
            </w:r>
          </w:p>
        </w:tc>
        <w:tc>
          <w:tcPr>
            <w:tcW w:w="3917" w:type="dxa"/>
          </w:tcPr>
          <w:p w14:paraId="21DEC525" w14:textId="1DD17F9B" w:rsidR="00E476FC" w:rsidRDefault="00E476FC" w:rsidP="00E476FC">
            <w:pPr>
              <w:autoSpaceDE w:val="0"/>
              <w:autoSpaceDN w:val="0"/>
              <w:adjustRightInd w:val="0"/>
              <w:rPr>
                <w:rFonts w:ascii="Times New Roman MT Std" w:hAnsi="Times New Roman MT Std" w:cs="Times New Roman MT Std"/>
                <w:color w:val="000000"/>
              </w:rPr>
            </w:pPr>
            <w:r>
              <w:rPr>
                <w:rFonts w:ascii="Times New Roman MT Std" w:hAnsi="Times New Roman MT Std" w:cs="Times New Roman MT Std"/>
                <w:color w:val="000000"/>
              </w:rPr>
              <w:t>Practice questions are 5 and 6</w:t>
            </w:r>
          </w:p>
        </w:tc>
        <w:tc>
          <w:tcPr>
            <w:tcW w:w="3398" w:type="dxa"/>
          </w:tcPr>
          <w:p w14:paraId="7A3DDEE6" w14:textId="0E42AC22" w:rsidR="00E476FC" w:rsidRDefault="00E476FC" w:rsidP="00E476FC">
            <w:pPr>
              <w:autoSpaceDE w:val="0"/>
              <w:autoSpaceDN w:val="0"/>
              <w:adjustRightInd w:val="0"/>
              <w:rPr>
                <w:rFonts w:ascii="Times New Roman MT Std" w:hAnsi="Times New Roman MT Std" w:cs="Times New Roman MT Std"/>
                <w:color w:val="000000"/>
              </w:rPr>
            </w:pPr>
            <w:r>
              <w:rPr>
                <w:rFonts w:ascii="Times New Roman MT Std" w:hAnsi="Times New Roman MT Std" w:cs="Times New Roman MT Std"/>
                <w:color w:val="000000"/>
              </w:rPr>
              <w:t>Practice questions should be renumbered to 10 and 11</w:t>
            </w:r>
          </w:p>
        </w:tc>
      </w:tr>
      <w:tr w:rsidR="00712362" w:rsidRPr="00B261C9" w14:paraId="164B6DCA" w14:textId="77777777" w:rsidTr="00712362">
        <w:trPr>
          <w:trHeight w:val="150"/>
          <w:jc w:val="center"/>
        </w:trPr>
        <w:tc>
          <w:tcPr>
            <w:tcW w:w="3441" w:type="dxa"/>
          </w:tcPr>
          <w:p w14:paraId="5B86C9C7" w14:textId="4E249C26" w:rsidR="00712362" w:rsidRDefault="00712362" w:rsidP="00E476FC">
            <w:pPr>
              <w:tabs>
                <w:tab w:val="left" w:pos="1800"/>
              </w:tabs>
              <w:autoSpaceDE w:val="0"/>
              <w:autoSpaceDN w:val="0"/>
              <w:adjustRightInd w:val="0"/>
              <w:rPr>
                <w:rFonts w:ascii="Times New Roman" w:hAnsi="Times New Roman"/>
              </w:rPr>
            </w:pPr>
            <w:r>
              <w:rPr>
                <w:rFonts w:ascii="Times New Roman" w:hAnsi="Times New Roman"/>
              </w:rPr>
              <w:t>p. 123</w:t>
            </w:r>
          </w:p>
        </w:tc>
        <w:tc>
          <w:tcPr>
            <w:tcW w:w="3917" w:type="dxa"/>
          </w:tcPr>
          <w:p w14:paraId="5CF7AC2F" w14:textId="0ED91C8C" w:rsidR="00712362" w:rsidRDefault="00712362" w:rsidP="00712362">
            <w:pPr>
              <w:autoSpaceDE w:val="0"/>
              <w:autoSpaceDN w:val="0"/>
              <w:adjustRightInd w:val="0"/>
              <w:rPr>
                <w:rFonts w:ascii="Times New Roman MT Std" w:hAnsi="Times New Roman MT Std" w:cs="Times New Roman MT Std"/>
                <w:color w:val="000000"/>
              </w:rPr>
            </w:pPr>
            <w:r w:rsidRPr="00712362">
              <w:rPr>
                <w:rFonts w:ascii="Times New Roman MT Std" w:hAnsi="Times New Roman MT Std"/>
                <w:color w:val="221E1F"/>
                <w:sz w:val="20"/>
                <w:szCs w:val="20"/>
              </w:rPr>
              <w:t>The landlord must give at least 12 hours’ notice before entering for repairs, and the repairs must be made between 7:30 am and 8:00 pm.</w:t>
            </w:r>
          </w:p>
        </w:tc>
        <w:tc>
          <w:tcPr>
            <w:tcW w:w="3398" w:type="dxa"/>
          </w:tcPr>
          <w:p w14:paraId="24957F90" w14:textId="5EF7A521" w:rsidR="00712362" w:rsidRPr="00712362" w:rsidRDefault="00712362" w:rsidP="00712362">
            <w:pPr>
              <w:autoSpaceDE w:val="0"/>
              <w:autoSpaceDN w:val="0"/>
              <w:adjustRightInd w:val="0"/>
              <w:rPr>
                <w:rFonts w:ascii="Times New Roman MT Std" w:hAnsi="Times New Roman MT Std" w:cs="Times New Roman MT Std"/>
                <w:b/>
                <w:bCs/>
                <w:color w:val="000000"/>
              </w:rPr>
            </w:pPr>
            <w:r w:rsidRPr="00712362">
              <w:rPr>
                <w:rFonts w:ascii="Times New Roman MT Std" w:hAnsi="Times New Roman MT Std"/>
                <w:color w:val="221E1F"/>
                <w:sz w:val="20"/>
                <w:szCs w:val="20"/>
              </w:rPr>
              <w:t xml:space="preserve">The landlord must give at least </w:t>
            </w:r>
            <w:r>
              <w:rPr>
                <w:rFonts w:ascii="Times New Roman MT Std" w:hAnsi="Times New Roman MT Std"/>
                <w:color w:val="221E1F"/>
                <w:sz w:val="20"/>
                <w:szCs w:val="20"/>
              </w:rPr>
              <w:t xml:space="preserve">24 </w:t>
            </w:r>
            <w:r w:rsidRPr="00712362">
              <w:rPr>
                <w:rFonts w:ascii="Times New Roman MT Std" w:hAnsi="Times New Roman MT Std"/>
                <w:color w:val="221E1F"/>
                <w:sz w:val="20"/>
                <w:szCs w:val="20"/>
              </w:rPr>
              <w:t>hours’ notice before entering for repairs, and the repairs must be made between 7:30 am and 8:00 pm.</w:t>
            </w:r>
          </w:p>
        </w:tc>
      </w:tr>
      <w:tr w:rsidR="00712362" w:rsidRPr="00B261C9" w14:paraId="39B896A0" w14:textId="77777777" w:rsidTr="00712362">
        <w:trPr>
          <w:trHeight w:val="150"/>
          <w:jc w:val="center"/>
        </w:trPr>
        <w:tc>
          <w:tcPr>
            <w:tcW w:w="3441" w:type="dxa"/>
          </w:tcPr>
          <w:p w14:paraId="05E89DE2" w14:textId="6AB1DBDE" w:rsidR="00712362" w:rsidRDefault="00712362" w:rsidP="00E476FC">
            <w:pPr>
              <w:tabs>
                <w:tab w:val="left" w:pos="1800"/>
              </w:tabs>
              <w:autoSpaceDE w:val="0"/>
              <w:autoSpaceDN w:val="0"/>
              <w:adjustRightInd w:val="0"/>
              <w:rPr>
                <w:rFonts w:ascii="Times New Roman" w:hAnsi="Times New Roman"/>
              </w:rPr>
            </w:pPr>
            <w:r>
              <w:rPr>
                <w:rFonts w:ascii="Times New Roman" w:hAnsi="Times New Roman"/>
              </w:rPr>
              <w:t>p. 126</w:t>
            </w:r>
          </w:p>
        </w:tc>
        <w:tc>
          <w:tcPr>
            <w:tcW w:w="3917" w:type="dxa"/>
          </w:tcPr>
          <w:p w14:paraId="43A5C324" w14:textId="77777777" w:rsidR="00712362" w:rsidRPr="00712362" w:rsidRDefault="00712362" w:rsidP="00712362">
            <w:pPr>
              <w:autoSpaceDE w:val="0"/>
              <w:autoSpaceDN w:val="0"/>
              <w:adjustRightInd w:val="0"/>
              <w:rPr>
                <w:rFonts w:ascii="Helvetica LT Std" w:hAnsi="Helvetica LT Std" w:cs="Helvetica LT Std"/>
                <w:color w:val="000000"/>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632"/>
              <w:gridCol w:w="1632"/>
            </w:tblGrid>
            <w:tr w:rsidR="00712362" w:rsidRPr="00712362" w14:paraId="70204603" w14:textId="77777777" w:rsidTr="00712362">
              <w:trPr>
                <w:trHeight w:val="49"/>
              </w:trPr>
              <w:tc>
                <w:tcPr>
                  <w:tcW w:w="1632" w:type="dxa"/>
                  <w:tcBorders>
                    <w:top w:val="none" w:sz="6" w:space="0" w:color="auto"/>
                    <w:bottom w:val="none" w:sz="6" w:space="0" w:color="auto"/>
                    <w:right w:val="none" w:sz="6" w:space="0" w:color="auto"/>
                  </w:tcBorders>
                </w:tcPr>
                <w:p w14:paraId="493C1DB6" w14:textId="77777777" w:rsidR="00712362" w:rsidRPr="00712362" w:rsidRDefault="00712362" w:rsidP="00712362">
                  <w:pPr>
                    <w:autoSpaceDE w:val="0"/>
                    <w:autoSpaceDN w:val="0"/>
                    <w:adjustRightInd w:val="0"/>
                    <w:spacing w:before="140" w:line="201" w:lineRule="atLeast"/>
                    <w:rPr>
                      <w:rFonts w:ascii="Helvetica LT Std" w:hAnsi="Helvetica LT Std" w:cs="Helvetica LT Std"/>
                      <w:color w:val="221E1F"/>
                      <w:sz w:val="20"/>
                      <w:szCs w:val="20"/>
                    </w:rPr>
                  </w:pPr>
                  <w:r w:rsidRPr="00712362">
                    <w:rPr>
                      <w:rFonts w:ascii="Helvetica LT Std" w:hAnsi="Helvetica LT Std" w:cs="Helvetica LT Std"/>
                      <w:b/>
                      <w:bCs/>
                      <w:color w:val="221E1F"/>
                      <w:sz w:val="20"/>
                      <w:szCs w:val="20"/>
                    </w:rPr>
                    <w:t>Tenancy Period</w:t>
                  </w:r>
                </w:p>
              </w:tc>
              <w:tc>
                <w:tcPr>
                  <w:tcW w:w="1632" w:type="dxa"/>
                  <w:tcBorders>
                    <w:top w:val="none" w:sz="6" w:space="0" w:color="auto"/>
                    <w:left w:val="none" w:sz="6" w:space="0" w:color="auto"/>
                    <w:bottom w:val="none" w:sz="6" w:space="0" w:color="auto"/>
                  </w:tcBorders>
                </w:tcPr>
                <w:p w14:paraId="224C9C98" w14:textId="77777777" w:rsidR="00712362" w:rsidRPr="00712362" w:rsidRDefault="00712362" w:rsidP="00712362">
                  <w:pPr>
                    <w:autoSpaceDE w:val="0"/>
                    <w:autoSpaceDN w:val="0"/>
                    <w:adjustRightInd w:val="0"/>
                    <w:spacing w:before="140" w:line="201" w:lineRule="atLeast"/>
                    <w:jc w:val="center"/>
                    <w:rPr>
                      <w:rFonts w:ascii="Helvetica LT Std" w:hAnsi="Helvetica LT Std" w:cs="Helvetica LT Std"/>
                      <w:color w:val="221E1F"/>
                      <w:sz w:val="20"/>
                      <w:szCs w:val="20"/>
                    </w:rPr>
                  </w:pPr>
                  <w:r w:rsidRPr="00712362">
                    <w:rPr>
                      <w:rFonts w:ascii="Helvetica LT Std" w:hAnsi="Helvetica LT Std" w:cs="Helvetica LT Std"/>
                      <w:b/>
                      <w:bCs/>
                      <w:color w:val="221E1F"/>
                      <w:sz w:val="20"/>
                      <w:szCs w:val="20"/>
                    </w:rPr>
                    <w:t>Notice Required</w:t>
                  </w:r>
                </w:p>
              </w:tc>
            </w:tr>
            <w:tr w:rsidR="00712362" w:rsidRPr="00712362" w14:paraId="445A01D5" w14:textId="77777777" w:rsidTr="00712362">
              <w:trPr>
                <w:trHeight w:val="46"/>
              </w:trPr>
              <w:tc>
                <w:tcPr>
                  <w:tcW w:w="1632" w:type="dxa"/>
                  <w:tcBorders>
                    <w:top w:val="none" w:sz="6" w:space="0" w:color="auto"/>
                    <w:bottom w:val="none" w:sz="6" w:space="0" w:color="auto"/>
                    <w:right w:val="none" w:sz="6" w:space="0" w:color="auto"/>
                  </w:tcBorders>
                </w:tcPr>
                <w:p w14:paraId="212AD648" w14:textId="77777777" w:rsidR="00712362" w:rsidRPr="00712362" w:rsidRDefault="00712362" w:rsidP="00712362">
                  <w:pPr>
                    <w:autoSpaceDE w:val="0"/>
                    <w:autoSpaceDN w:val="0"/>
                    <w:adjustRightInd w:val="0"/>
                    <w:spacing w:line="201" w:lineRule="atLeast"/>
                    <w:rPr>
                      <w:rFonts w:ascii="Helvetica LT Std" w:hAnsi="Helvetica LT Std" w:cs="Helvetica LT Std"/>
                      <w:color w:val="221E1F"/>
                      <w:sz w:val="20"/>
                      <w:szCs w:val="20"/>
                    </w:rPr>
                  </w:pPr>
                  <w:r w:rsidRPr="00712362">
                    <w:rPr>
                      <w:rFonts w:ascii="Helvetica LT Std" w:hAnsi="Helvetica LT Std" w:cs="Helvetica LT Std"/>
                      <w:color w:val="221E1F"/>
                      <w:sz w:val="20"/>
                      <w:szCs w:val="20"/>
                    </w:rPr>
                    <w:t>Year to year</w:t>
                  </w:r>
                </w:p>
              </w:tc>
              <w:tc>
                <w:tcPr>
                  <w:tcW w:w="1632" w:type="dxa"/>
                  <w:tcBorders>
                    <w:top w:val="none" w:sz="6" w:space="0" w:color="auto"/>
                    <w:left w:val="none" w:sz="6" w:space="0" w:color="auto"/>
                    <w:bottom w:val="none" w:sz="6" w:space="0" w:color="auto"/>
                  </w:tcBorders>
                </w:tcPr>
                <w:p w14:paraId="036B3EEF" w14:textId="77777777" w:rsidR="00712362" w:rsidRPr="00712362" w:rsidRDefault="00712362" w:rsidP="00712362">
                  <w:pPr>
                    <w:autoSpaceDE w:val="0"/>
                    <w:autoSpaceDN w:val="0"/>
                    <w:adjustRightInd w:val="0"/>
                    <w:spacing w:line="201" w:lineRule="atLeast"/>
                    <w:jc w:val="center"/>
                    <w:rPr>
                      <w:rFonts w:ascii="Helvetica LT Std" w:hAnsi="Helvetica LT Std" w:cs="Helvetica LT Std"/>
                      <w:color w:val="221E1F"/>
                      <w:sz w:val="20"/>
                      <w:szCs w:val="20"/>
                    </w:rPr>
                  </w:pPr>
                  <w:r w:rsidRPr="00712362">
                    <w:rPr>
                      <w:rFonts w:ascii="Helvetica LT Std" w:hAnsi="Helvetica LT Std" w:cs="Helvetica LT Std"/>
                      <w:color w:val="221E1F"/>
                      <w:sz w:val="20"/>
                      <w:szCs w:val="20"/>
                    </w:rPr>
                    <w:t>60 days</w:t>
                  </w:r>
                </w:p>
              </w:tc>
            </w:tr>
            <w:tr w:rsidR="00712362" w:rsidRPr="00712362" w14:paraId="28C33031" w14:textId="77777777" w:rsidTr="00712362">
              <w:trPr>
                <w:trHeight w:val="46"/>
              </w:trPr>
              <w:tc>
                <w:tcPr>
                  <w:tcW w:w="1632" w:type="dxa"/>
                  <w:tcBorders>
                    <w:top w:val="none" w:sz="6" w:space="0" w:color="auto"/>
                    <w:bottom w:val="none" w:sz="6" w:space="0" w:color="auto"/>
                    <w:right w:val="none" w:sz="6" w:space="0" w:color="auto"/>
                  </w:tcBorders>
                </w:tcPr>
                <w:p w14:paraId="4C052C42" w14:textId="77777777" w:rsidR="00712362" w:rsidRPr="00712362" w:rsidRDefault="00712362" w:rsidP="00712362">
                  <w:pPr>
                    <w:autoSpaceDE w:val="0"/>
                    <w:autoSpaceDN w:val="0"/>
                    <w:adjustRightInd w:val="0"/>
                    <w:spacing w:line="201" w:lineRule="atLeast"/>
                    <w:rPr>
                      <w:rFonts w:ascii="Helvetica LT Std" w:hAnsi="Helvetica LT Std" w:cs="Helvetica LT Std"/>
                      <w:color w:val="221E1F"/>
                      <w:sz w:val="20"/>
                      <w:szCs w:val="20"/>
                    </w:rPr>
                  </w:pPr>
                  <w:r w:rsidRPr="00712362">
                    <w:rPr>
                      <w:rFonts w:ascii="Helvetica LT Std" w:hAnsi="Helvetica LT Std" w:cs="Helvetica LT Std"/>
                      <w:color w:val="221E1F"/>
                      <w:sz w:val="20"/>
                      <w:szCs w:val="20"/>
                    </w:rPr>
                    <w:t>Quarter to quarter</w:t>
                  </w:r>
                </w:p>
              </w:tc>
              <w:tc>
                <w:tcPr>
                  <w:tcW w:w="1632" w:type="dxa"/>
                  <w:tcBorders>
                    <w:top w:val="none" w:sz="6" w:space="0" w:color="auto"/>
                    <w:left w:val="none" w:sz="6" w:space="0" w:color="auto"/>
                    <w:bottom w:val="none" w:sz="6" w:space="0" w:color="auto"/>
                  </w:tcBorders>
                </w:tcPr>
                <w:p w14:paraId="7D7FBEAF" w14:textId="77777777" w:rsidR="00712362" w:rsidRPr="00712362" w:rsidRDefault="00712362" w:rsidP="00712362">
                  <w:pPr>
                    <w:autoSpaceDE w:val="0"/>
                    <w:autoSpaceDN w:val="0"/>
                    <w:adjustRightInd w:val="0"/>
                    <w:spacing w:line="201" w:lineRule="atLeast"/>
                    <w:jc w:val="center"/>
                    <w:rPr>
                      <w:rFonts w:ascii="Helvetica LT Std" w:hAnsi="Helvetica LT Std" w:cs="Helvetica LT Std"/>
                      <w:color w:val="221E1F"/>
                      <w:sz w:val="20"/>
                      <w:szCs w:val="20"/>
                    </w:rPr>
                  </w:pPr>
                  <w:r w:rsidRPr="00712362">
                    <w:rPr>
                      <w:rFonts w:ascii="Helvetica LT Std" w:hAnsi="Helvetica LT Std" w:cs="Helvetica LT Std"/>
                      <w:color w:val="221E1F"/>
                      <w:sz w:val="20"/>
                      <w:szCs w:val="20"/>
                    </w:rPr>
                    <w:t>30 days</w:t>
                  </w:r>
                </w:p>
              </w:tc>
            </w:tr>
            <w:tr w:rsidR="00712362" w:rsidRPr="00712362" w14:paraId="511B3234" w14:textId="77777777" w:rsidTr="00712362">
              <w:trPr>
                <w:trHeight w:val="46"/>
              </w:trPr>
              <w:tc>
                <w:tcPr>
                  <w:tcW w:w="1632" w:type="dxa"/>
                  <w:tcBorders>
                    <w:top w:val="none" w:sz="6" w:space="0" w:color="auto"/>
                    <w:bottom w:val="none" w:sz="6" w:space="0" w:color="auto"/>
                    <w:right w:val="none" w:sz="6" w:space="0" w:color="auto"/>
                  </w:tcBorders>
                </w:tcPr>
                <w:p w14:paraId="631CA1F0" w14:textId="77777777" w:rsidR="00712362" w:rsidRPr="00712362" w:rsidRDefault="00712362" w:rsidP="00712362">
                  <w:pPr>
                    <w:autoSpaceDE w:val="0"/>
                    <w:autoSpaceDN w:val="0"/>
                    <w:adjustRightInd w:val="0"/>
                    <w:spacing w:line="201" w:lineRule="atLeast"/>
                    <w:rPr>
                      <w:rFonts w:ascii="Helvetica LT Std" w:hAnsi="Helvetica LT Std" w:cs="Helvetica LT Std"/>
                      <w:color w:val="221E1F"/>
                      <w:sz w:val="20"/>
                      <w:szCs w:val="20"/>
                    </w:rPr>
                  </w:pPr>
                  <w:r w:rsidRPr="00712362">
                    <w:rPr>
                      <w:rFonts w:ascii="Helvetica LT Std" w:hAnsi="Helvetica LT Std" w:cs="Helvetica LT Std"/>
                      <w:color w:val="221E1F"/>
                      <w:sz w:val="20"/>
                      <w:szCs w:val="20"/>
                    </w:rPr>
                    <w:t>Month to month</w:t>
                  </w:r>
                </w:p>
              </w:tc>
              <w:tc>
                <w:tcPr>
                  <w:tcW w:w="1632" w:type="dxa"/>
                  <w:tcBorders>
                    <w:top w:val="none" w:sz="6" w:space="0" w:color="auto"/>
                    <w:left w:val="none" w:sz="6" w:space="0" w:color="auto"/>
                    <w:bottom w:val="none" w:sz="6" w:space="0" w:color="auto"/>
                  </w:tcBorders>
                </w:tcPr>
                <w:p w14:paraId="5C7D61BB" w14:textId="77777777" w:rsidR="00712362" w:rsidRPr="00712362" w:rsidRDefault="00712362" w:rsidP="00712362">
                  <w:pPr>
                    <w:autoSpaceDE w:val="0"/>
                    <w:autoSpaceDN w:val="0"/>
                    <w:adjustRightInd w:val="0"/>
                    <w:spacing w:line="201" w:lineRule="atLeast"/>
                    <w:jc w:val="center"/>
                    <w:rPr>
                      <w:rFonts w:ascii="Helvetica LT Std" w:hAnsi="Helvetica LT Std" w:cs="Helvetica LT Std"/>
                      <w:color w:val="221E1F"/>
                      <w:sz w:val="20"/>
                      <w:szCs w:val="20"/>
                    </w:rPr>
                  </w:pPr>
                  <w:r w:rsidRPr="00712362">
                    <w:rPr>
                      <w:rFonts w:ascii="Helvetica LT Std" w:hAnsi="Helvetica LT Std" w:cs="Helvetica LT Std"/>
                      <w:color w:val="221E1F"/>
                      <w:sz w:val="20"/>
                      <w:szCs w:val="20"/>
                    </w:rPr>
                    <w:t>15 days</w:t>
                  </w:r>
                </w:p>
              </w:tc>
            </w:tr>
            <w:tr w:rsidR="00712362" w:rsidRPr="00712362" w14:paraId="48A31575" w14:textId="77777777" w:rsidTr="00712362">
              <w:trPr>
                <w:trHeight w:val="46"/>
              </w:trPr>
              <w:tc>
                <w:tcPr>
                  <w:tcW w:w="1632" w:type="dxa"/>
                  <w:tcBorders>
                    <w:top w:val="none" w:sz="6" w:space="0" w:color="auto"/>
                    <w:bottom w:val="none" w:sz="6" w:space="0" w:color="auto"/>
                    <w:right w:val="none" w:sz="6" w:space="0" w:color="auto"/>
                  </w:tcBorders>
                </w:tcPr>
                <w:p w14:paraId="1B61C49E" w14:textId="77777777" w:rsidR="00712362" w:rsidRPr="00712362" w:rsidRDefault="00712362" w:rsidP="00712362">
                  <w:pPr>
                    <w:autoSpaceDE w:val="0"/>
                    <w:autoSpaceDN w:val="0"/>
                    <w:adjustRightInd w:val="0"/>
                    <w:spacing w:line="201" w:lineRule="atLeast"/>
                    <w:rPr>
                      <w:rFonts w:ascii="Helvetica LT Std" w:hAnsi="Helvetica LT Std" w:cs="Helvetica LT Std"/>
                      <w:color w:val="221E1F"/>
                      <w:sz w:val="20"/>
                      <w:szCs w:val="20"/>
                    </w:rPr>
                  </w:pPr>
                  <w:r w:rsidRPr="00712362">
                    <w:rPr>
                      <w:rFonts w:ascii="Helvetica LT Std" w:hAnsi="Helvetica LT Std" w:cs="Helvetica LT Std"/>
                      <w:color w:val="221E1F"/>
                      <w:sz w:val="20"/>
                      <w:szCs w:val="20"/>
                    </w:rPr>
                    <w:t>Week to week</w:t>
                  </w:r>
                </w:p>
              </w:tc>
              <w:tc>
                <w:tcPr>
                  <w:tcW w:w="1632" w:type="dxa"/>
                  <w:tcBorders>
                    <w:top w:val="none" w:sz="6" w:space="0" w:color="auto"/>
                    <w:left w:val="none" w:sz="6" w:space="0" w:color="auto"/>
                    <w:bottom w:val="none" w:sz="6" w:space="0" w:color="auto"/>
                  </w:tcBorders>
                </w:tcPr>
                <w:p w14:paraId="10C09F11" w14:textId="77777777" w:rsidR="00712362" w:rsidRPr="00712362" w:rsidRDefault="00712362" w:rsidP="00712362">
                  <w:pPr>
                    <w:autoSpaceDE w:val="0"/>
                    <w:autoSpaceDN w:val="0"/>
                    <w:adjustRightInd w:val="0"/>
                    <w:spacing w:line="201" w:lineRule="atLeast"/>
                    <w:jc w:val="center"/>
                    <w:rPr>
                      <w:rFonts w:ascii="Helvetica LT Std" w:hAnsi="Helvetica LT Std" w:cs="Helvetica LT Std"/>
                      <w:color w:val="221E1F"/>
                      <w:sz w:val="20"/>
                      <w:szCs w:val="20"/>
                    </w:rPr>
                  </w:pPr>
                  <w:r w:rsidRPr="00712362">
                    <w:rPr>
                      <w:rFonts w:ascii="Helvetica LT Std" w:hAnsi="Helvetica LT Std" w:cs="Helvetica LT Std"/>
                      <w:color w:val="221E1F"/>
                      <w:sz w:val="20"/>
                      <w:szCs w:val="20"/>
                    </w:rPr>
                    <w:t>7 days</w:t>
                  </w:r>
                </w:p>
              </w:tc>
            </w:tr>
          </w:tbl>
          <w:p w14:paraId="47FD9EFF" w14:textId="77777777" w:rsidR="00712362" w:rsidRDefault="00712362" w:rsidP="00E476FC">
            <w:pPr>
              <w:autoSpaceDE w:val="0"/>
              <w:autoSpaceDN w:val="0"/>
              <w:adjustRightInd w:val="0"/>
              <w:rPr>
                <w:rFonts w:ascii="Times New Roman MT Std" w:hAnsi="Times New Roman MT Std" w:cs="Times New Roman MT Std"/>
                <w:color w:val="000000"/>
              </w:rPr>
            </w:pPr>
          </w:p>
        </w:tc>
        <w:tc>
          <w:tcPr>
            <w:tcW w:w="3398" w:type="dxa"/>
          </w:tcPr>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419"/>
              <w:gridCol w:w="1419"/>
            </w:tblGrid>
            <w:tr w:rsidR="00712362" w:rsidRPr="00712362" w14:paraId="0FF68363" w14:textId="77777777" w:rsidTr="00712362">
              <w:trPr>
                <w:trHeight w:val="64"/>
              </w:trPr>
              <w:tc>
                <w:tcPr>
                  <w:tcW w:w="1419" w:type="dxa"/>
                  <w:tcBorders>
                    <w:top w:val="none" w:sz="6" w:space="0" w:color="auto"/>
                    <w:bottom w:val="none" w:sz="6" w:space="0" w:color="auto"/>
                    <w:right w:val="none" w:sz="6" w:space="0" w:color="auto"/>
                  </w:tcBorders>
                </w:tcPr>
                <w:p w14:paraId="072B3D61" w14:textId="77777777" w:rsidR="00712362" w:rsidRPr="00712362" w:rsidRDefault="00712362" w:rsidP="00712362">
                  <w:pPr>
                    <w:autoSpaceDE w:val="0"/>
                    <w:autoSpaceDN w:val="0"/>
                    <w:adjustRightInd w:val="0"/>
                    <w:spacing w:before="140" w:line="201" w:lineRule="atLeast"/>
                    <w:rPr>
                      <w:rFonts w:ascii="Helvetica LT Std" w:hAnsi="Helvetica LT Std" w:cs="Helvetica LT Std"/>
                      <w:color w:val="221E1F"/>
                      <w:sz w:val="20"/>
                      <w:szCs w:val="20"/>
                    </w:rPr>
                  </w:pPr>
                  <w:r w:rsidRPr="00712362">
                    <w:rPr>
                      <w:rFonts w:ascii="Helvetica LT Std" w:hAnsi="Helvetica LT Std" w:cs="Helvetica LT Std"/>
                      <w:b/>
                      <w:bCs/>
                      <w:color w:val="221E1F"/>
                      <w:sz w:val="20"/>
                      <w:szCs w:val="20"/>
                    </w:rPr>
                    <w:t>Tenancy Period</w:t>
                  </w:r>
                </w:p>
              </w:tc>
              <w:tc>
                <w:tcPr>
                  <w:tcW w:w="1419" w:type="dxa"/>
                  <w:tcBorders>
                    <w:top w:val="none" w:sz="6" w:space="0" w:color="auto"/>
                    <w:left w:val="none" w:sz="6" w:space="0" w:color="auto"/>
                    <w:bottom w:val="none" w:sz="6" w:space="0" w:color="auto"/>
                  </w:tcBorders>
                </w:tcPr>
                <w:p w14:paraId="20DE6C89" w14:textId="77777777" w:rsidR="00712362" w:rsidRPr="00712362" w:rsidRDefault="00712362" w:rsidP="00712362">
                  <w:pPr>
                    <w:autoSpaceDE w:val="0"/>
                    <w:autoSpaceDN w:val="0"/>
                    <w:adjustRightInd w:val="0"/>
                    <w:spacing w:before="140" w:line="201" w:lineRule="atLeast"/>
                    <w:jc w:val="center"/>
                    <w:rPr>
                      <w:rFonts w:ascii="Helvetica LT Std" w:hAnsi="Helvetica LT Std" w:cs="Helvetica LT Std"/>
                      <w:color w:val="221E1F"/>
                      <w:sz w:val="20"/>
                      <w:szCs w:val="20"/>
                    </w:rPr>
                  </w:pPr>
                  <w:r w:rsidRPr="00712362">
                    <w:rPr>
                      <w:rFonts w:ascii="Helvetica LT Std" w:hAnsi="Helvetica LT Std" w:cs="Helvetica LT Std"/>
                      <w:b/>
                      <w:bCs/>
                      <w:color w:val="221E1F"/>
                      <w:sz w:val="20"/>
                      <w:szCs w:val="20"/>
                    </w:rPr>
                    <w:t>Notice Required</w:t>
                  </w:r>
                </w:p>
              </w:tc>
            </w:tr>
            <w:tr w:rsidR="00712362" w:rsidRPr="00712362" w14:paraId="065E88C2" w14:textId="77777777" w:rsidTr="00712362">
              <w:trPr>
                <w:trHeight w:val="61"/>
              </w:trPr>
              <w:tc>
                <w:tcPr>
                  <w:tcW w:w="1419" w:type="dxa"/>
                  <w:tcBorders>
                    <w:top w:val="none" w:sz="6" w:space="0" w:color="auto"/>
                    <w:bottom w:val="none" w:sz="6" w:space="0" w:color="auto"/>
                    <w:right w:val="none" w:sz="6" w:space="0" w:color="auto"/>
                  </w:tcBorders>
                </w:tcPr>
                <w:p w14:paraId="7F1B289B" w14:textId="77777777" w:rsidR="00712362" w:rsidRPr="00712362" w:rsidRDefault="00712362" w:rsidP="00712362">
                  <w:pPr>
                    <w:autoSpaceDE w:val="0"/>
                    <w:autoSpaceDN w:val="0"/>
                    <w:adjustRightInd w:val="0"/>
                    <w:spacing w:line="201" w:lineRule="atLeast"/>
                    <w:rPr>
                      <w:rFonts w:ascii="Helvetica LT Std" w:hAnsi="Helvetica LT Std" w:cs="Helvetica LT Std"/>
                      <w:color w:val="221E1F"/>
                      <w:sz w:val="20"/>
                      <w:szCs w:val="20"/>
                    </w:rPr>
                  </w:pPr>
                  <w:r w:rsidRPr="00712362">
                    <w:rPr>
                      <w:rFonts w:ascii="Helvetica LT Std" w:hAnsi="Helvetica LT Std" w:cs="Helvetica LT Std"/>
                      <w:color w:val="221E1F"/>
                      <w:sz w:val="20"/>
                      <w:szCs w:val="20"/>
                    </w:rPr>
                    <w:t>Year to year</w:t>
                  </w:r>
                </w:p>
              </w:tc>
              <w:tc>
                <w:tcPr>
                  <w:tcW w:w="1419" w:type="dxa"/>
                  <w:tcBorders>
                    <w:top w:val="none" w:sz="6" w:space="0" w:color="auto"/>
                    <w:left w:val="none" w:sz="6" w:space="0" w:color="auto"/>
                    <w:bottom w:val="none" w:sz="6" w:space="0" w:color="auto"/>
                  </w:tcBorders>
                </w:tcPr>
                <w:p w14:paraId="4FF1B2A0" w14:textId="77777777" w:rsidR="00712362" w:rsidRPr="00712362" w:rsidRDefault="00712362" w:rsidP="00712362">
                  <w:pPr>
                    <w:autoSpaceDE w:val="0"/>
                    <w:autoSpaceDN w:val="0"/>
                    <w:adjustRightInd w:val="0"/>
                    <w:spacing w:line="201" w:lineRule="atLeast"/>
                    <w:jc w:val="center"/>
                    <w:rPr>
                      <w:rFonts w:ascii="Helvetica LT Std" w:hAnsi="Helvetica LT Std" w:cs="Helvetica LT Std"/>
                      <w:color w:val="221E1F"/>
                      <w:sz w:val="20"/>
                      <w:szCs w:val="20"/>
                    </w:rPr>
                  </w:pPr>
                  <w:r w:rsidRPr="00712362">
                    <w:rPr>
                      <w:rFonts w:ascii="Helvetica LT Std" w:hAnsi="Helvetica LT Std" w:cs="Helvetica LT Std"/>
                      <w:color w:val="221E1F"/>
                      <w:sz w:val="20"/>
                      <w:szCs w:val="20"/>
                    </w:rPr>
                    <w:t>60 days</w:t>
                  </w:r>
                </w:p>
              </w:tc>
            </w:tr>
            <w:tr w:rsidR="00712362" w:rsidRPr="00712362" w14:paraId="09F0C6B4" w14:textId="77777777" w:rsidTr="00712362">
              <w:trPr>
                <w:trHeight w:val="61"/>
              </w:trPr>
              <w:tc>
                <w:tcPr>
                  <w:tcW w:w="1419" w:type="dxa"/>
                  <w:tcBorders>
                    <w:top w:val="none" w:sz="6" w:space="0" w:color="auto"/>
                    <w:bottom w:val="none" w:sz="6" w:space="0" w:color="auto"/>
                    <w:right w:val="none" w:sz="6" w:space="0" w:color="auto"/>
                  </w:tcBorders>
                </w:tcPr>
                <w:p w14:paraId="73B12BC7" w14:textId="77777777" w:rsidR="00712362" w:rsidRPr="00712362" w:rsidRDefault="00712362" w:rsidP="00712362">
                  <w:pPr>
                    <w:autoSpaceDE w:val="0"/>
                    <w:autoSpaceDN w:val="0"/>
                    <w:adjustRightInd w:val="0"/>
                    <w:spacing w:line="201" w:lineRule="atLeast"/>
                    <w:rPr>
                      <w:rFonts w:ascii="Helvetica LT Std" w:hAnsi="Helvetica LT Std" w:cs="Helvetica LT Std"/>
                      <w:color w:val="221E1F"/>
                      <w:sz w:val="20"/>
                      <w:szCs w:val="20"/>
                    </w:rPr>
                  </w:pPr>
                  <w:r w:rsidRPr="00712362">
                    <w:rPr>
                      <w:rFonts w:ascii="Helvetica LT Std" w:hAnsi="Helvetica LT Std" w:cs="Helvetica LT Std"/>
                      <w:color w:val="221E1F"/>
                      <w:sz w:val="20"/>
                      <w:szCs w:val="20"/>
                    </w:rPr>
                    <w:t>Quarter to quarter</w:t>
                  </w:r>
                </w:p>
              </w:tc>
              <w:tc>
                <w:tcPr>
                  <w:tcW w:w="1419" w:type="dxa"/>
                  <w:tcBorders>
                    <w:top w:val="none" w:sz="6" w:space="0" w:color="auto"/>
                    <w:left w:val="none" w:sz="6" w:space="0" w:color="auto"/>
                    <w:bottom w:val="none" w:sz="6" w:space="0" w:color="auto"/>
                  </w:tcBorders>
                </w:tcPr>
                <w:p w14:paraId="6EE95F0F" w14:textId="77777777" w:rsidR="00712362" w:rsidRPr="00712362" w:rsidRDefault="00712362" w:rsidP="00712362">
                  <w:pPr>
                    <w:autoSpaceDE w:val="0"/>
                    <w:autoSpaceDN w:val="0"/>
                    <w:adjustRightInd w:val="0"/>
                    <w:spacing w:line="201" w:lineRule="atLeast"/>
                    <w:jc w:val="center"/>
                    <w:rPr>
                      <w:rFonts w:ascii="Helvetica LT Std" w:hAnsi="Helvetica LT Std" w:cs="Helvetica LT Std"/>
                      <w:color w:val="221E1F"/>
                      <w:sz w:val="20"/>
                      <w:szCs w:val="20"/>
                    </w:rPr>
                  </w:pPr>
                  <w:r w:rsidRPr="00712362">
                    <w:rPr>
                      <w:rFonts w:ascii="Helvetica LT Std" w:hAnsi="Helvetica LT Std" w:cs="Helvetica LT Std"/>
                      <w:color w:val="221E1F"/>
                      <w:sz w:val="20"/>
                      <w:szCs w:val="20"/>
                    </w:rPr>
                    <w:t>30 days</w:t>
                  </w:r>
                </w:p>
              </w:tc>
            </w:tr>
            <w:tr w:rsidR="00712362" w:rsidRPr="00712362" w14:paraId="03F7D5B5" w14:textId="77777777" w:rsidTr="00712362">
              <w:trPr>
                <w:trHeight w:val="61"/>
              </w:trPr>
              <w:tc>
                <w:tcPr>
                  <w:tcW w:w="1419" w:type="dxa"/>
                  <w:tcBorders>
                    <w:top w:val="none" w:sz="6" w:space="0" w:color="auto"/>
                    <w:bottom w:val="none" w:sz="6" w:space="0" w:color="auto"/>
                    <w:right w:val="none" w:sz="6" w:space="0" w:color="auto"/>
                  </w:tcBorders>
                </w:tcPr>
                <w:p w14:paraId="75038B6E" w14:textId="77777777" w:rsidR="00712362" w:rsidRPr="00712362" w:rsidRDefault="00712362" w:rsidP="00712362">
                  <w:pPr>
                    <w:autoSpaceDE w:val="0"/>
                    <w:autoSpaceDN w:val="0"/>
                    <w:adjustRightInd w:val="0"/>
                    <w:spacing w:line="201" w:lineRule="atLeast"/>
                    <w:rPr>
                      <w:rFonts w:ascii="Helvetica LT Std" w:hAnsi="Helvetica LT Std" w:cs="Helvetica LT Std"/>
                      <w:color w:val="221E1F"/>
                      <w:sz w:val="20"/>
                      <w:szCs w:val="20"/>
                    </w:rPr>
                  </w:pPr>
                  <w:r w:rsidRPr="00712362">
                    <w:rPr>
                      <w:rFonts w:ascii="Helvetica LT Std" w:hAnsi="Helvetica LT Std" w:cs="Helvetica LT Std"/>
                      <w:color w:val="221E1F"/>
                      <w:sz w:val="20"/>
                      <w:szCs w:val="20"/>
                    </w:rPr>
                    <w:t>Month to month</w:t>
                  </w:r>
                </w:p>
              </w:tc>
              <w:tc>
                <w:tcPr>
                  <w:tcW w:w="1419" w:type="dxa"/>
                  <w:tcBorders>
                    <w:top w:val="none" w:sz="6" w:space="0" w:color="auto"/>
                    <w:left w:val="none" w:sz="6" w:space="0" w:color="auto"/>
                    <w:bottom w:val="none" w:sz="6" w:space="0" w:color="auto"/>
                  </w:tcBorders>
                </w:tcPr>
                <w:p w14:paraId="2408E2F7" w14:textId="05E752FC" w:rsidR="00712362" w:rsidRPr="00712362" w:rsidRDefault="00712362" w:rsidP="00712362">
                  <w:pPr>
                    <w:autoSpaceDE w:val="0"/>
                    <w:autoSpaceDN w:val="0"/>
                    <w:adjustRightInd w:val="0"/>
                    <w:spacing w:line="201" w:lineRule="atLeast"/>
                    <w:jc w:val="center"/>
                    <w:rPr>
                      <w:rFonts w:ascii="Helvetica LT Std" w:hAnsi="Helvetica LT Std" w:cs="Helvetica LT Std"/>
                      <w:color w:val="221E1F"/>
                      <w:sz w:val="20"/>
                      <w:szCs w:val="20"/>
                    </w:rPr>
                  </w:pPr>
                  <w:r>
                    <w:rPr>
                      <w:rFonts w:ascii="Helvetica LT Std" w:hAnsi="Helvetica LT Std" w:cs="Helvetica LT Std"/>
                      <w:color w:val="221E1F"/>
                      <w:sz w:val="20"/>
                      <w:szCs w:val="20"/>
                    </w:rPr>
                    <w:t>30</w:t>
                  </w:r>
                  <w:r w:rsidRPr="00712362">
                    <w:rPr>
                      <w:rFonts w:ascii="Helvetica LT Std" w:hAnsi="Helvetica LT Std" w:cs="Helvetica LT Std"/>
                      <w:color w:val="221E1F"/>
                      <w:sz w:val="20"/>
                      <w:szCs w:val="20"/>
                    </w:rPr>
                    <w:t xml:space="preserve"> days</w:t>
                  </w:r>
                </w:p>
              </w:tc>
            </w:tr>
            <w:tr w:rsidR="00712362" w:rsidRPr="00712362" w14:paraId="360785CD" w14:textId="77777777" w:rsidTr="00712362">
              <w:trPr>
                <w:trHeight w:val="61"/>
              </w:trPr>
              <w:tc>
                <w:tcPr>
                  <w:tcW w:w="1419" w:type="dxa"/>
                  <w:tcBorders>
                    <w:top w:val="none" w:sz="6" w:space="0" w:color="auto"/>
                    <w:bottom w:val="none" w:sz="6" w:space="0" w:color="auto"/>
                    <w:right w:val="none" w:sz="6" w:space="0" w:color="auto"/>
                  </w:tcBorders>
                </w:tcPr>
                <w:p w14:paraId="55CE282A" w14:textId="77777777" w:rsidR="00712362" w:rsidRPr="00712362" w:rsidRDefault="00712362" w:rsidP="00712362">
                  <w:pPr>
                    <w:autoSpaceDE w:val="0"/>
                    <w:autoSpaceDN w:val="0"/>
                    <w:adjustRightInd w:val="0"/>
                    <w:spacing w:line="201" w:lineRule="atLeast"/>
                    <w:rPr>
                      <w:rFonts w:ascii="Helvetica LT Std" w:hAnsi="Helvetica LT Std" w:cs="Helvetica LT Std"/>
                      <w:color w:val="221E1F"/>
                      <w:sz w:val="20"/>
                      <w:szCs w:val="20"/>
                    </w:rPr>
                  </w:pPr>
                  <w:r w:rsidRPr="00712362">
                    <w:rPr>
                      <w:rFonts w:ascii="Helvetica LT Std" w:hAnsi="Helvetica LT Std" w:cs="Helvetica LT Std"/>
                      <w:color w:val="221E1F"/>
                      <w:sz w:val="20"/>
                      <w:szCs w:val="20"/>
                    </w:rPr>
                    <w:t>Week to week</w:t>
                  </w:r>
                </w:p>
              </w:tc>
              <w:tc>
                <w:tcPr>
                  <w:tcW w:w="1419" w:type="dxa"/>
                  <w:tcBorders>
                    <w:top w:val="none" w:sz="6" w:space="0" w:color="auto"/>
                    <w:left w:val="none" w:sz="6" w:space="0" w:color="auto"/>
                    <w:bottom w:val="none" w:sz="6" w:space="0" w:color="auto"/>
                  </w:tcBorders>
                </w:tcPr>
                <w:p w14:paraId="60E7C1ED" w14:textId="77777777" w:rsidR="00712362" w:rsidRPr="00712362" w:rsidRDefault="00712362" w:rsidP="00712362">
                  <w:pPr>
                    <w:autoSpaceDE w:val="0"/>
                    <w:autoSpaceDN w:val="0"/>
                    <w:adjustRightInd w:val="0"/>
                    <w:spacing w:line="201" w:lineRule="atLeast"/>
                    <w:jc w:val="center"/>
                    <w:rPr>
                      <w:rFonts w:ascii="Helvetica LT Std" w:hAnsi="Helvetica LT Std" w:cs="Helvetica LT Std"/>
                      <w:color w:val="221E1F"/>
                      <w:sz w:val="20"/>
                      <w:szCs w:val="20"/>
                    </w:rPr>
                  </w:pPr>
                  <w:r w:rsidRPr="00712362">
                    <w:rPr>
                      <w:rFonts w:ascii="Helvetica LT Std" w:hAnsi="Helvetica LT Std" w:cs="Helvetica LT Std"/>
                      <w:color w:val="221E1F"/>
                      <w:sz w:val="20"/>
                      <w:szCs w:val="20"/>
                    </w:rPr>
                    <w:t>7 days</w:t>
                  </w:r>
                </w:p>
              </w:tc>
            </w:tr>
          </w:tbl>
          <w:p w14:paraId="67C989CE" w14:textId="77777777" w:rsidR="00712362" w:rsidRDefault="00712362" w:rsidP="00E476FC">
            <w:pPr>
              <w:autoSpaceDE w:val="0"/>
              <w:autoSpaceDN w:val="0"/>
              <w:adjustRightInd w:val="0"/>
              <w:rPr>
                <w:rFonts w:ascii="Times New Roman MT Std" w:hAnsi="Times New Roman MT Std" w:cs="Times New Roman MT Std"/>
                <w:color w:val="000000"/>
              </w:rPr>
            </w:pPr>
          </w:p>
        </w:tc>
      </w:tr>
      <w:tr w:rsidR="007B446A" w:rsidRPr="00B261C9" w14:paraId="11ECAFFD" w14:textId="77777777" w:rsidTr="00712362">
        <w:trPr>
          <w:trHeight w:val="150"/>
          <w:jc w:val="center"/>
        </w:trPr>
        <w:tc>
          <w:tcPr>
            <w:tcW w:w="3441" w:type="dxa"/>
          </w:tcPr>
          <w:p w14:paraId="4DA34040" w14:textId="4EEA4693" w:rsidR="007B446A" w:rsidRDefault="00916BB3" w:rsidP="00E476FC">
            <w:pPr>
              <w:tabs>
                <w:tab w:val="left" w:pos="1800"/>
              </w:tabs>
              <w:autoSpaceDE w:val="0"/>
              <w:autoSpaceDN w:val="0"/>
              <w:adjustRightInd w:val="0"/>
              <w:rPr>
                <w:rFonts w:ascii="Times New Roman" w:hAnsi="Times New Roman"/>
              </w:rPr>
            </w:pPr>
            <w:r>
              <w:rPr>
                <w:rFonts w:ascii="Times New Roman" w:hAnsi="Times New Roman"/>
              </w:rPr>
              <w:t>p. 6 Voluntary Inactive Licensees</w:t>
            </w:r>
          </w:p>
        </w:tc>
        <w:tc>
          <w:tcPr>
            <w:tcW w:w="3917" w:type="dxa"/>
          </w:tcPr>
          <w:p w14:paraId="0AE4BCB5" w14:textId="77C7463B" w:rsidR="007B446A" w:rsidRPr="00712362" w:rsidRDefault="00916BB3" w:rsidP="00712362">
            <w:pPr>
              <w:autoSpaceDE w:val="0"/>
              <w:autoSpaceDN w:val="0"/>
              <w:adjustRightInd w:val="0"/>
              <w:rPr>
                <w:rFonts w:ascii="Helvetica LT Std" w:hAnsi="Helvetica LT Std" w:cs="Helvetica LT Std"/>
                <w:color w:val="000000"/>
              </w:rPr>
            </w:pPr>
            <w:r>
              <w:rPr>
                <w:rFonts w:ascii="Helvetica LT Std" w:hAnsi="Helvetica LT Std" w:cs="Helvetica LT Std"/>
                <w:color w:val="000000"/>
              </w:rPr>
              <w:t xml:space="preserve">They may become active at any time without paying a fee buy using the </w:t>
            </w:r>
            <w:r w:rsidRPr="00916BB3">
              <w:rPr>
                <w:rFonts w:ascii="Helvetica LT Std" w:hAnsi="Helvetica LT Std" w:cs="Helvetica LT Std"/>
                <w:color w:val="000000"/>
              </w:rPr>
              <w:t>www.myfloridalicense.com</w:t>
            </w:r>
            <w:r>
              <w:rPr>
                <w:rFonts w:ascii="Helvetica LT Std" w:hAnsi="Helvetica LT Std" w:cs="Helvetica LT Std"/>
                <w:color w:val="000000"/>
              </w:rPr>
              <w:t xml:space="preserve"> </w:t>
            </w:r>
            <w:proofErr w:type="gramStart"/>
            <w:r>
              <w:rPr>
                <w:rFonts w:ascii="Helvetica LT Std" w:hAnsi="Helvetica LT Std" w:cs="Helvetica LT Std"/>
                <w:color w:val="000000"/>
              </w:rPr>
              <w:t>database, or</w:t>
            </w:r>
            <w:proofErr w:type="gramEnd"/>
            <w:r>
              <w:rPr>
                <w:rFonts w:ascii="Helvetica LT Std" w:hAnsi="Helvetica LT Std" w:cs="Helvetica LT Std"/>
                <w:color w:val="000000"/>
              </w:rPr>
              <w:t xml:space="preserve"> mailing or faxing Form RE-10.</w:t>
            </w:r>
          </w:p>
        </w:tc>
        <w:tc>
          <w:tcPr>
            <w:tcW w:w="3398" w:type="dxa"/>
          </w:tcPr>
          <w:p w14:paraId="04281CFC" w14:textId="7A615770" w:rsidR="007B446A" w:rsidRPr="00712362" w:rsidRDefault="00916BB3" w:rsidP="00712362">
            <w:pPr>
              <w:autoSpaceDE w:val="0"/>
              <w:autoSpaceDN w:val="0"/>
              <w:adjustRightInd w:val="0"/>
              <w:spacing w:before="140" w:line="201" w:lineRule="atLeast"/>
              <w:rPr>
                <w:rFonts w:ascii="Helvetica LT Std" w:hAnsi="Helvetica LT Std" w:cs="Helvetica LT Std"/>
                <w:b/>
                <w:bCs/>
                <w:color w:val="221E1F"/>
                <w:sz w:val="20"/>
                <w:szCs w:val="20"/>
              </w:rPr>
            </w:pPr>
            <w:r>
              <w:rPr>
                <w:rFonts w:ascii="Helvetica LT Std" w:hAnsi="Helvetica LT Std" w:cs="Helvetica LT Std"/>
                <w:color w:val="000000"/>
              </w:rPr>
              <w:t xml:space="preserve">They may become active at any time without paying a fee buy using the </w:t>
            </w:r>
            <w:r w:rsidRPr="00916BB3">
              <w:rPr>
                <w:rFonts w:ascii="Helvetica LT Std" w:hAnsi="Helvetica LT Std" w:cs="Helvetica LT Std"/>
                <w:color w:val="000000"/>
              </w:rPr>
              <w:t>www.myfloridalicense.com</w:t>
            </w:r>
            <w:r>
              <w:rPr>
                <w:rFonts w:ascii="Helvetica LT Std" w:hAnsi="Helvetica LT Std" w:cs="Helvetica LT Std"/>
                <w:color w:val="000000"/>
              </w:rPr>
              <w:t xml:space="preserve"> database.</w:t>
            </w:r>
          </w:p>
        </w:tc>
      </w:tr>
      <w:tr w:rsidR="00411DA7" w:rsidRPr="00B261C9" w14:paraId="13808295" w14:textId="77777777" w:rsidTr="00712362">
        <w:trPr>
          <w:trHeight w:val="150"/>
          <w:jc w:val="center"/>
        </w:trPr>
        <w:tc>
          <w:tcPr>
            <w:tcW w:w="3441" w:type="dxa"/>
          </w:tcPr>
          <w:p w14:paraId="2A9E3C1A" w14:textId="7E1287EA" w:rsidR="00411DA7" w:rsidRDefault="00411DA7" w:rsidP="00E476FC">
            <w:pPr>
              <w:tabs>
                <w:tab w:val="left" w:pos="1800"/>
              </w:tabs>
              <w:autoSpaceDE w:val="0"/>
              <w:autoSpaceDN w:val="0"/>
              <w:adjustRightInd w:val="0"/>
              <w:rPr>
                <w:rFonts w:ascii="Times New Roman" w:hAnsi="Times New Roman"/>
              </w:rPr>
            </w:pPr>
            <w:r>
              <w:rPr>
                <w:rFonts w:ascii="Times New Roman" w:hAnsi="Times New Roman"/>
              </w:rPr>
              <w:t xml:space="preserve">p. 166 Question </w:t>
            </w:r>
            <w:r w:rsidR="00FE72A0">
              <w:rPr>
                <w:rFonts w:ascii="Times New Roman" w:hAnsi="Times New Roman"/>
              </w:rPr>
              <w:t>5 Answer Key for Unit 7 Practice Questions</w:t>
            </w:r>
          </w:p>
        </w:tc>
        <w:tc>
          <w:tcPr>
            <w:tcW w:w="3917" w:type="dxa"/>
          </w:tcPr>
          <w:p w14:paraId="24D196A6" w14:textId="77777777" w:rsidR="00FE72A0" w:rsidRPr="00FE72A0" w:rsidRDefault="00411DA7" w:rsidP="00FE72A0">
            <w:pPr>
              <w:autoSpaceDE w:val="0"/>
              <w:autoSpaceDN w:val="0"/>
              <w:adjustRightInd w:val="0"/>
              <w:rPr>
                <w:rFonts w:ascii="Helvetica LT Std" w:hAnsi="Helvetica LT Std" w:cs="Helvetica LT Std"/>
                <w:color w:val="000000"/>
              </w:rPr>
            </w:pPr>
            <w:r>
              <w:rPr>
                <w:rFonts w:ascii="Helvetica LT Std" w:hAnsi="Helvetica LT Std" w:cs="Helvetica LT Std"/>
                <w:color w:val="000000"/>
              </w:rPr>
              <w:t xml:space="preserve">Answer is </w:t>
            </w:r>
            <w:r w:rsidR="00FE72A0">
              <w:rPr>
                <w:rFonts w:ascii="Helvetica LT Std" w:hAnsi="Helvetica LT Std" w:cs="Helvetica LT Std"/>
                <w:color w:val="000000"/>
              </w:rPr>
              <w:t>a</w:t>
            </w:r>
            <w:r>
              <w:rPr>
                <w:rFonts w:ascii="Helvetica LT Std" w:hAnsi="Helvetica LT Std" w:cs="Helvetica LT Std"/>
                <w:color w:val="000000"/>
              </w:rPr>
              <w:t xml:space="preserve">. </w:t>
            </w:r>
          </w:p>
          <w:p w14:paraId="178D2D5B" w14:textId="77777777" w:rsidR="00FE72A0" w:rsidRPr="00FE72A0" w:rsidRDefault="00FE72A0" w:rsidP="00FE72A0">
            <w:pPr>
              <w:autoSpaceDE w:val="0"/>
              <w:autoSpaceDN w:val="0"/>
              <w:adjustRightInd w:val="0"/>
              <w:rPr>
                <w:rFonts w:ascii="Helvetica LT Std" w:hAnsi="Helvetica LT Std" w:cs="Helvetica LT Std"/>
                <w:color w:val="000000"/>
              </w:rPr>
            </w:pPr>
          </w:p>
          <w:p w14:paraId="1E11C7BD" w14:textId="77777777" w:rsidR="00FE72A0" w:rsidRPr="00FE72A0" w:rsidRDefault="00FE72A0" w:rsidP="00FE72A0">
            <w:pPr>
              <w:autoSpaceDE w:val="0"/>
              <w:autoSpaceDN w:val="0"/>
              <w:adjustRightInd w:val="0"/>
              <w:rPr>
                <w:rFonts w:ascii="Helvetica LT Std" w:hAnsi="Helvetica LT Std" w:cs="Helvetica LT Std"/>
                <w:color w:val="000000"/>
              </w:rPr>
            </w:pPr>
            <w:r w:rsidRPr="00FE72A0">
              <w:rPr>
                <w:rFonts w:ascii="Helvetica LT Std" w:hAnsi="Helvetica LT Std" w:cs="Helvetica LT Std"/>
                <w:color w:val="000000"/>
              </w:rPr>
              <w:t xml:space="preserve">A broker who is not a member of the MLS should not expect to receive the same commission split that the listing broker has offered to MLS participants. The MLS split is a result of a blanket offer to MLS participants. A non-member of the MLS has no agreement from the listing broker for payment. </w:t>
            </w:r>
          </w:p>
          <w:p w14:paraId="79656225" w14:textId="2B2862AC" w:rsidR="00FE72A0" w:rsidRDefault="00FE72A0" w:rsidP="00FE72A0">
            <w:pPr>
              <w:autoSpaceDE w:val="0"/>
              <w:autoSpaceDN w:val="0"/>
              <w:adjustRightInd w:val="0"/>
              <w:rPr>
                <w:rFonts w:ascii="Helvetica LT Std" w:hAnsi="Helvetica LT Std" w:cs="Helvetica LT Std"/>
                <w:color w:val="000000"/>
              </w:rPr>
            </w:pPr>
          </w:p>
          <w:p w14:paraId="1374842B" w14:textId="57D714DA" w:rsidR="00411DA7" w:rsidRDefault="00411DA7" w:rsidP="00411DA7">
            <w:pPr>
              <w:autoSpaceDE w:val="0"/>
              <w:autoSpaceDN w:val="0"/>
              <w:adjustRightInd w:val="0"/>
              <w:rPr>
                <w:rFonts w:ascii="Helvetica LT Std" w:hAnsi="Helvetica LT Std" w:cs="Helvetica LT Std"/>
                <w:color w:val="000000"/>
              </w:rPr>
            </w:pPr>
          </w:p>
        </w:tc>
        <w:tc>
          <w:tcPr>
            <w:tcW w:w="3398" w:type="dxa"/>
          </w:tcPr>
          <w:p w14:paraId="242C86EE" w14:textId="2DE8D243" w:rsidR="00FE72A0" w:rsidRPr="00FE72A0" w:rsidRDefault="00FE72A0" w:rsidP="00FE72A0">
            <w:pPr>
              <w:autoSpaceDE w:val="0"/>
              <w:autoSpaceDN w:val="0"/>
              <w:adjustRightInd w:val="0"/>
              <w:spacing w:before="140" w:line="201" w:lineRule="atLeast"/>
              <w:rPr>
                <w:rFonts w:ascii="Helvetica LT Std" w:hAnsi="Helvetica LT Std" w:cs="Helvetica LT Std"/>
                <w:color w:val="000000"/>
              </w:rPr>
            </w:pPr>
            <w:r w:rsidRPr="00FE72A0">
              <w:rPr>
                <w:rFonts w:ascii="Helvetica LT Std" w:hAnsi="Helvetica LT Std" w:cs="Helvetica LT Std"/>
                <w:color w:val="000000"/>
              </w:rPr>
              <w:t>Brokers and sales associates occasionally have disputes over commissions that are</w:t>
            </w:r>
            <w:r>
              <w:rPr>
                <w:rFonts w:ascii="Helvetica LT Std" w:hAnsi="Helvetica LT Std" w:cs="Helvetica LT Std"/>
                <w:color w:val="000000"/>
              </w:rPr>
              <w:t xml:space="preserve"> </w:t>
            </w:r>
            <w:r w:rsidRPr="00FE72A0">
              <w:rPr>
                <w:rFonts w:ascii="Helvetica LT Std" w:hAnsi="Helvetica LT Std" w:cs="Helvetica LT Std"/>
                <w:color w:val="000000"/>
              </w:rPr>
              <w:t>due to the sales associates. The Florida Real Estate Commission will not</w:t>
            </w:r>
            <w:r>
              <w:rPr>
                <w:rFonts w:ascii="Helvetica LT Std" w:hAnsi="Helvetica LT Std" w:cs="Helvetica LT Std"/>
                <w:color w:val="000000"/>
              </w:rPr>
              <w:t xml:space="preserve"> </w:t>
            </w:r>
            <w:r w:rsidRPr="00FE72A0">
              <w:rPr>
                <w:rFonts w:ascii="Helvetica LT Std" w:hAnsi="Helvetica LT Std" w:cs="Helvetica LT Std"/>
                <w:color w:val="000000"/>
              </w:rPr>
              <w:t>become involved in commission disputes between brokers and sales associates. The sales associate’s only remedy is to sue the broker and get a civil judgment.</w:t>
            </w:r>
          </w:p>
          <w:p w14:paraId="77FF2D79" w14:textId="7F1B32C6" w:rsidR="00411DA7" w:rsidRDefault="00411DA7" w:rsidP="00712362">
            <w:pPr>
              <w:autoSpaceDE w:val="0"/>
              <w:autoSpaceDN w:val="0"/>
              <w:adjustRightInd w:val="0"/>
              <w:spacing w:before="140" w:line="201" w:lineRule="atLeast"/>
              <w:rPr>
                <w:rFonts w:ascii="Helvetica LT Std" w:hAnsi="Helvetica LT Std" w:cs="Helvetica LT Std"/>
                <w:color w:val="000000"/>
              </w:rPr>
            </w:pPr>
          </w:p>
        </w:tc>
      </w:tr>
      <w:tr w:rsidR="00FE72A0" w:rsidRPr="00B261C9" w14:paraId="7D808957" w14:textId="77777777" w:rsidTr="00712362">
        <w:trPr>
          <w:trHeight w:val="150"/>
          <w:jc w:val="center"/>
        </w:trPr>
        <w:tc>
          <w:tcPr>
            <w:tcW w:w="3441" w:type="dxa"/>
          </w:tcPr>
          <w:p w14:paraId="22D120C9" w14:textId="10DA387F" w:rsidR="00FE72A0" w:rsidRDefault="00FE72A0" w:rsidP="00E476FC">
            <w:pPr>
              <w:tabs>
                <w:tab w:val="left" w:pos="1800"/>
              </w:tabs>
              <w:autoSpaceDE w:val="0"/>
              <w:autoSpaceDN w:val="0"/>
              <w:adjustRightInd w:val="0"/>
              <w:rPr>
                <w:rFonts w:ascii="Times New Roman" w:hAnsi="Times New Roman"/>
              </w:rPr>
            </w:pPr>
            <w:r>
              <w:rPr>
                <w:rFonts w:ascii="Times New Roman" w:hAnsi="Times New Roman"/>
              </w:rPr>
              <w:t>p. 167 Question 6 Answer Key for Unit 7 Practice Questions</w:t>
            </w:r>
          </w:p>
        </w:tc>
        <w:tc>
          <w:tcPr>
            <w:tcW w:w="3917" w:type="dxa"/>
          </w:tcPr>
          <w:p w14:paraId="7BBF964C" w14:textId="77777777" w:rsidR="00FE72A0" w:rsidRPr="00FE72A0" w:rsidRDefault="00FE72A0" w:rsidP="00FE72A0">
            <w:pPr>
              <w:autoSpaceDE w:val="0"/>
              <w:autoSpaceDN w:val="0"/>
              <w:adjustRightInd w:val="0"/>
              <w:rPr>
                <w:rFonts w:ascii="Helvetica LT Std" w:hAnsi="Helvetica LT Std" w:cs="Helvetica LT Std"/>
                <w:color w:val="000000"/>
              </w:rPr>
            </w:pPr>
          </w:p>
          <w:p w14:paraId="7FF5EDDF" w14:textId="77777777" w:rsidR="00FE72A0" w:rsidRPr="00FE72A0" w:rsidRDefault="00FE72A0" w:rsidP="00FE72A0">
            <w:pPr>
              <w:autoSpaceDE w:val="0"/>
              <w:autoSpaceDN w:val="0"/>
              <w:adjustRightInd w:val="0"/>
              <w:rPr>
                <w:rFonts w:ascii="Helvetica LT Std" w:hAnsi="Helvetica LT Std" w:cs="Helvetica LT Std"/>
                <w:color w:val="000000"/>
              </w:rPr>
            </w:pPr>
          </w:p>
          <w:p w14:paraId="18B3856A" w14:textId="77777777" w:rsidR="00FE72A0" w:rsidRPr="00FE72A0" w:rsidRDefault="00FE72A0" w:rsidP="00FE72A0">
            <w:pPr>
              <w:autoSpaceDE w:val="0"/>
              <w:autoSpaceDN w:val="0"/>
              <w:adjustRightInd w:val="0"/>
              <w:rPr>
                <w:rFonts w:ascii="Helvetica LT Std" w:hAnsi="Helvetica LT Std" w:cs="Helvetica LT Std"/>
                <w:color w:val="000000"/>
              </w:rPr>
            </w:pPr>
            <w:r w:rsidRPr="00FE72A0">
              <w:rPr>
                <w:rFonts w:ascii="Helvetica LT Std" w:hAnsi="Helvetica LT Std" w:cs="Helvetica LT Std"/>
                <w:color w:val="000000"/>
              </w:rPr>
              <w:t>The selling broker has violated Standard of Practice 16-16, which says, Realtors shall not use the terms of an offer to attempt to modify the listing broker’s offer of compensation or make the submis</w:t>
            </w:r>
            <w:r w:rsidRPr="00FE72A0">
              <w:rPr>
                <w:rFonts w:ascii="Helvetica LT Std" w:hAnsi="Helvetica LT Std" w:cs="Helvetica LT Std"/>
                <w:color w:val="000000"/>
              </w:rPr>
              <w:softHyphen/>
              <w:t xml:space="preserve">sion of an executed offer </w:t>
            </w:r>
            <w:r w:rsidRPr="00FE72A0">
              <w:rPr>
                <w:rFonts w:ascii="Helvetica LT Std" w:hAnsi="Helvetica LT Std" w:cs="Helvetica LT Std"/>
                <w:color w:val="000000"/>
              </w:rPr>
              <w:lastRenderedPageBreak/>
              <w:t>contingent on the listing broker’s agreement to modify the offer of compensation.</w:t>
            </w:r>
          </w:p>
          <w:p w14:paraId="4BE37AE3" w14:textId="77777777" w:rsidR="00FE72A0" w:rsidRDefault="00FE72A0" w:rsidP="00FE72A0">
            <w:pPr>
              <w:autoSpaceDE w:val="0"/>
              <w:autoSpaceDN w:val="0"/>
              <w:adjustRightInd w:val="0"/>
              <w:rPr>
                <w:rFonts w:ascii="Helvetica LT Std" w:hAnsi="Helvetica LT Std" w:cs="Helvetica LT Std"/>
                <w:color w:val="000000"/>
              </w:rPr>
            </w:pPr>
          </w:p>
        </w:tc>
        <w:tc>
          <w:tcPr>
            <w:tcW w:w="3398" w:type="dxa"/>
          </w:tcPr>
          <w:p w14:paraId="70EE3552" w14:textId="4D901C8C" w:rsidR="00FE72A0" w:rsidRPr="00FE72A0" w:rsidRDefault="00FE72A0" w:rsidP="00FE72A0">
            <w:pPr>
              <w:autoSpaceDE w:val="0"/>
              <w:autoSpaceDN w:val="0"/>
              <w:adjustRightInd w:val="0"/>
              <w:spacing w:before="140" w:line="201" w:lineRule="atLeast"/>
              <w:rPr>
                <w:rFonts w:ascii="Helvetica LT Std" w:hAnsi="Helvetica LT Std" w:cs="Helvetica LT Std"/>
                <w:color w:val="000000"/>
              </w:rPr>
            </w:pPr>
            <w:r w:rsidRPr="00FE72A0">
              <w:rPr>
                <w:rFonts w:ascii="Helvetica LT Std" w:hAnsi="Helvetica LT Std" w:cs="Helvetica LT Std"/>
                <w:color w:val="000000"/>
              </w:rPr>
              <w:lastRenderedPageBreak/>
              <w:t>Arbitration awards between REALTORS® should not include findings of fact or reason for the award for various reasons.</w:t>
            </w:r>
          </w:p>
        </w:tc>
      </w:tr>
      <w:tr w:rsidR="00411DA7" w:rsidRPr="00B261C9" w14:paraId="3B84E501" w14:textId="77777777" w:rsidTr="00712362">
        <w:trPr>
          <w:trHeight w:val="150"/>
          <w:jc w:val="center"/>
        </w:trPr>
        <w:tc>
          <w:tcPr>
            <w:tcW w:w="3441" w:type="dxa"/>
          </w:tcPr>
          <w:p w14:paraId="5FAB8997" w14:textId="77777777" w:rsidR="00411DA7" w:rsidRDefault="00411DA7" w:rsidP="00E476FC">
            <w:pPr>
              <w:tabs>
                <w:tab w:val="left" w:pos="1800"/>
              </w:tabs>
              <w:autoSpaceDE w:val="0"/>
              <w:autoSpaceDN w:val="0"/>
              <w:adjustRightInd w:val="0"/>
              <w:rPr>
                <w:rFonts w:ascii="Times New Roman" w:hAnsi="Times New Roman"/>
              </w:rPr>
            </w:pPr>
            <w:r>
              <w:rPr>
                <w:rFonts w:ascii="Times New Roman" w:hAnsi="Times New Roman"/>
              </w:rPr>
              <w:t>p. 88 Question 6</w:t>
            </w:r>
          </w:p>
          <w:p w14:paraId="1497ACA2" w14:textId="065D0140" w:rsidR="00411DA7" w:rsidRDefault="00411DA7" w:rsidP="00E476FC">
            <w:pPr>
              <w:tabs>
                <w:tab w:val="left" w:pos="1800"/>
              </w:tabs>
              <w:autoSpaceDE w:val="0"/>
              <w:autoSpaceDN w:val="0"/>
              <w:adjustRightInd w:val="0"/>
              <w:rPr>
                <w:rFonts w:ascii="Times New Roman" w:hAnsi="Times New Roman"/>
              </w:rPr>
            </w:pPr>
            <w:r>
              <w:rPr>
                <w:rFonts w:ascii="Times New Roman" w:hAnsi="Times New Roman"/>
              </w:rPr>
              <w:t>[rewritten question]</w:t>
            </w:r>
          </w:p>
        </w:tc>
        <w:tc>
          <w:tcPr>
            <w:tcW w:w="3917" w:type="dxa"/>
          </w:tcPr>
          <w:p w14:paraId="19C6828B" w14:textId="6D8F6D32" w:rsidR="00411DA7" w:rsidRDefault="00411DA7" w:rsidP="00411DA7">
            <w:pPr>
              <w:autoSpaceDE w:val="0"/>
              <w:autoSpaceDN w:val="0"/>
              <w:adjustRightInd w:val="0"/>
              <w:rPr>
                <w:rFonts w:ascii="Helvetica LT Std" w:hAnsi="Helvetica LT Std" w:cs="Helvetica LT Std"/>
                <w:color w:val="000000"/>
              </w:rPr>
            </w:pPr>
            <w:r w:rsidRPr="00411DA7">
              <w:rPr>
                <w:rFonts w:ascii="Helvetica LT Std" w:hAnsi="Helvetica LT Std" w:cs="Helvetica LT Std"/>
                <w:color w:val="000000"/>
              </w:rPr>
              <w:t>A REALTOR® who uses the terms of an offer to modify a commission split violates the REALTORS® Code of Ethics.</w:t>
            </w:r>
          </w:p>
        </w:tc>
        <w:tc>
          <w:tcPr>
            <w:tcW w:w="3398" w:type="dxa"/>
          </w:tcPr>
          <w:p w14:paraId="6F8AD11B" w14:textId="4008ADD6" w:rsidR="00411DA7" w:rsidRDefault="00411DA7" w:rsidP="00712362">
            <w:pPr>
              <w:autoSpaceDE w:val="0"/>
              <w:autoSpaceDN w:val="0"/>
              <w:adjustRightInd w:val="0"/>
              <w:spacing w:before="140" w:line="201" w:lineRule="atLeast"/>
              <w:rPr>
                <w:rFonts w:ascii="Helvetica LT Std" w:hAnsi="Helvetica LT Std" w:cs="Helvetica LT Std"/>
                <w:color w:val="000000"/>
              </w:rPr>
            </w:pPr>
            <w:r w:rsidRPr="00411DA7">
              <w:rPr>
                <w:rFonts w:ascii="Helvetica LT Std" w:hAnsi="Helvetica LT Std" w:cs="Helvetica LT Std"/>
                <w:color w:val="000000"/>
              </w:rPr>
              <w:t>Arbitration awards between REALTORS(R) should NOT include findings of fact or reasons for the award.</w:t>
            </w:r>
          </w:p>
        </w:tc>
      </w:tr>
      <w:tr w:rsidR="00FE72A0" w:rsidRPr="00B261C9" w14:paraId="67634A6E" w14:textId="77777777" w:rsidTr="00712362">
        <w:trPr>
          <w:trHeight w:val="150"/>
          <w:jc w:val="center"/>
        </w:trPr>
        <w:tc>
          <w:tcPr>
            <w:tcW w:w="3441" w:type="dxa"/>
          </w:tcPr>
          <w:p w14:paraId="675B4693" w14:textId="64B2479D" w:rsidR="00FE72A0" w:rsidRDefault="00FE72A0" w:rsidP="00E476FC">
            <w:pPr>
              <w:tabs>
                <w:tab w:val="left" w:pos="1800"/>
              </w:tabs>
              <w:autoSpaceDE w:val="0"/>
              <w:autoSpaceDN w:val="0"/>
              <w:adjustRightInd w:val="0"/>
              <w:rPr>
                <w:rFonts w:ascii="Times New Roman" w:hAnsi="Times New Roman"/>
              </w:rPr>
            </w:pPr>
            <w:r>
              <w:rPr>
                <w:rFonts w:ascii="Times New Roman" w:hAnsi="Times New Roman"/>
              </w:rPr>
              <w:t xml:space="preserve">p. 88 Question 5  </w:t>
            </w:r>
          </w:p>
        </w:tc>
        <w:tc>
          <w:tcPr>
            <w:tcW w:w="3917" w:type="dxa"/>
          </w:tcPr>
          <w:p w14:paraId="2209A4B9" w14:textId="77777777" w:rsidR="00FE72A0" w:rsidRPr="00FE72A0" w:rsidRDefault="00FE72A0" w:rsidP="00FE72A0">
            <w:pPr>
              <w:autoSpaceDE w:val="0"/>
              <w:autoSpaceDN w:val="0"/>
              <w:adjustRightInd w:val="0"/>
              <w:rPr>
                <w:rFonts w:ascii="Helvetica LT Std" w:hAnsi="Helvetica LT Std" w:cs="Helvetica LT Std"/>
                <w:color w:val="000000"/>
              </w:rPr>
            </w:pPr>
          </w:p>
          <w:p w14:paraId="67012313" w14:textId="77777777" w:rsidR="00FE72A0" w:rsidRPr="00FE72A0" w:rsidRDefault="00FE72A0" w:rsidP="00FE72A0">
            <w:pPr>
              <w:autoSpaceDE w:val="0"/>
              <w:autoSpaceDN w:val="0"/>
              <w:adjustRightInd w:val="0"/>
              <w:rPr>
                <w:rFonts w:ascii="Helvetica LT Std" w:hAnsi="Helvetica LT Std" w:cs="Helvetica LT Std"/>
                <w:color w:val="000000"/>
              </w:rPr>
            </w:pPr>
          </w:p>
          <w:p w14:paraId="31AB6FE3" w14:textId="77777777" w:rsidR="00FE72A0" w:rsidRPr="00FE72A0" w:rsidRDefault="00FE72A0" w:rsidP="00FE72A0">
            <w:pPr>
              <w:autoSpaceDE w:val="0"/>
              <w:autoSpaceDN w:val="0"/>
              <w:adjustRightInd w:val="0"/>
              <w:rPr>
                <w:rFonts w:ascii="Helvetica LT Std" w:hAnsi="Helvetica LT Std" w:cs="Helvetica LT Std"/>
                <w:color w:val="000000"/>
              </w:rPr>
            </w:pPr>
            <w:r w:rsidRPr="00FE72A0">
              <w:rPr>
                <w:rFonts w:ascii="Helvetica LT Std" w:hAnsi="Helvetica LT Std" w:cs="Helvetica LT Std"/>
                <w:color w:val="000000"/>
              </w:rPr>
              <w:t xml:space="preserve">A listing broker has no obligation to pay a non-MLS member unless there </w:t>
            </w:r>
            <w:proofErr w:type="gramStart"/>
            <w:r w:rsidRPr="00FE72A0">
              <w:rPr>
                <w:rFonts w:ascii="Helvetica LT Std" w:hAnsi="Helvetica LT Std" w:cs="Helvetica LT Std"/>
                <w:color w:val="000000"/>
              </w:rPr>
              <w:t>was</w:t>
            </w:r>
            <w:proofErr w:type="gramEnd"/>
            <w:r w:rsidRPr="00FE72A0">
              <w:rPr>
                <w:rFonts w:ascii="Helvetica LT Std" w:hAnsi="Helvetica LT Std" w:cs="Helvetica LT Std"/>
                <w:color w:val="000000"/>
              </w:rPr>
              <w:t xml:space="preserve"> a separate agreement between the brokers.</w:t>
            </w:r>
          </w:p>
          <w:p w14:paraId="33AF7455" w14:textId="77777777" w:rsidR="00FE72A0" w:rsidRPr="00411DA7" w:rsidRDefault="00FE72A0" w:rsidP="00411DA7">
            <w:pPr>
              <w:autoSpaceDE w:val="0"/>
              <w:autoSpaceDN w:val="0"/>
              <w:adjustRightInd w:val="0"/>
              <w:rPr>
                <w:rFonts w:ascii="Helvetica LT Std" w:hAnsi="Helvetica LT Std" w:cs="Helvetica LT Std"/>
                <w:color w:val="000000"/>
              </w:rPr>
            </w:pPr>
          </w:p>
        </w:tc>
        <w:tc>
          <w:tcPr>
            <w:tcW w:w="3398" w:type="dxa"/>
          </w:tcPr>
          <w:p w14:paraId="6D0EAF2D" w14:textId="290CA80F" w:rsidR="00FE72A0" w:rsidRPr="00411DA7" w:rsidRDefault="00FE72A0" w:rsidP="00712362">
            <w:pPr>
              <w:autoSpaceDE w:val="0"/>
              <w:autoSpaceDN w:val="0"/>
              <w:adjustRightInd w:val="0"/>
              <w:spacing w:before="140" w:line="201" w:lineRule="atLeast"/>
              <w:rPr>
                <w:rFonts w:ascii="Helvetica LT Std" w:hAnsi="Helvetica LT Std" w:cs="Helvetica LT Std"/>
                <w:color w:val="000000"/>
              </w:rPr>
            </w:pPr>
            <w:r w:rsidRPr="00FE72A0">
              <w:rPr>
                <w:rFonts w:ascii="Helvetica LT Std" w:hAnsi="Helvetica LT Std" w:cs="Helvetica LT Std"/>
                <w:color w:val="000000"/>
              </w:rPr>
              <w:t>The Florida Real Estate Commission will NOT become involved in commission disputes between a broker and a sales associate.</w:t>
            </w:r>
          </w:p>
        </w:tc>
      </w:tr>
    </w:tbl>
    <w:p w14:paraId="2332DC4D" w14:textId="77777777" w:rsidR="00173F59" w:rsidRPr="007C0232" w:rsidRDefault="00173F59" w:rsidP="00B261C9">
      <w:pPr>
        <w:tabs>
          <w:tab w:val="left" w:pos="1800"/>
        </w:tabs>
        <w:autoSpaceDE w:val="0"/>
        <w:autoSpaceDN w:val="0"/>
        <w:adjustRightInd w:val="0"/>
        <w:rPr>
          <w:rFonts w:ascii="Times New Roman" w:hAnsi="Times New Roman"/>
        </w:rPr>
      </w:pPr>
    </w:p>
    <w:sectPr w:rsidR="00173F59" w:rsidRPr="007C0232" w:rsidSect="00A54C6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9D525" w14:textId="77777777" w:rsidR="00E04CE3" w:rsidRDefault="00E04CE3">
      <w:r>
        <w:separator/>
      </w:r>
    </w:p>
  </w:endnote>
  <w:endnote w:type="continuationSeparator" w:id="0">
    <w:p w14:paraId="0EC7646B" w14:textId="77777777" w:rsidR="00E04CE3" w:rsidRDefault="00E0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JNPA B+ Palatino">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oudy Oldstyle Std">
    <w:altName w:val="Goudy Oldstyle Std"/>
    <w:panose1 w:val="00000000000000000000"/>
    <w:charset w:val="00"/>
    <w:family w:val="roman"/>
    <w:notTrueType/>
    <w:pitch w:val="default"/>
    <w:sig w:usb0="00000003" w:usb1="00000000" w:usb2="00000000" w:usb3="00000000" w:csb0="00000001"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MT St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6010B" w14:textId="77777777" w:rsidR="00DE2E72" w:rsidRDefault="00E9614D" w:rsidP="00173F59">
    <w:pPr>
      <w:pStyle w:val="Footer"/>
      <w:framePr w:wrap="around" w:vAnchor="text" w:hAnchor="margin" w:xAlign="right" w:y="1"/>
      <w:rPr>
        <w:rStyle w:val="PageNumber"/>
      </w:rPr>
    </w:pPr>
    <w:r>
      <w:rPr>
        <w:rStyle w:val="PageNumber"/>
      </w:rPr>
      <w:fldChar w:fldCharType="begin"/>
    </w:r>
    <w:r w:rsidR="00DE2E72">
      <w:rPr>
        <w:rStyle w:val="PageNumber"/>
      </w:rPr>
      <w:instrText xml:space="preserve">PAGE  </w:instrText>
    </w:r>
    <w:r>
      <w:rPr>
        <w:rStyle w:val="PageNumber"/>
      </w:rPr>
      <w:fldChar w:fldCharType="end"/>
    </w:r>
  </w:p>
  <w:p w14:paraId="53C2DF62" w14:textId="77777777" w:rsidR="00DE2E72" w:rsidRDefault="00DE2E72" w:rsidP="00173F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1FF2F" w14:textId="7556C513" w:rsidR="00414AE1" w:rsidRDefault="00414AE1" w:rsidP="00414AE1">
    <w:pPr>
      <w:pStyle w:val="Footer"/>
      <w:tabs>
        <w:tab w:val="clear" w:pos="4320"/>
        <w:tab w:val="clear" w:pos="8640"/>
      </w:tabs>
      <w:ind w:firstLine="360"/>
      <w:jc w:val="right"/>
      <w:rPr>
        <w:rFonts w:ascii="Arial" w:hAnsi="Arial" w:cs="Arial"/>
        <w:sz w:val="20"/>
        <w:szCs w:val="20"/>
      </w:rPr>
    </w:pPr>
    <w:r w:rsidRPr="00D25C2E">
      <w:rPr>
        <w:rFonts w:ascii="Arial" w:hAnsi="Arial" w:cs="Arial"/>
        <w:sz w:val="20"/>
        <w:szCs w:val="20"/>
      </w:rPr>
      <w:t>©</w:t>
    </w:r>
    <w:r w:rsidR="00972340" w:rsidRPr="00D25C2E">
      <w:rPr>
        <w:rFonts w:ascii="Arial" w:hAnsi="Arial" w:cs="Arial"/>
        <w:sz w:val="20"/>
        <w:szCs w:val="20"/>
      </w:rPr>
      <w:t>20</w:t>
    </w:r>
    <w:r w:rsidR="00972340">
      <w:rPr>
        <w:rFonts w:ascii="Arial" w:hAnsi="Arial" w:cs="Arial"/>
        <w:sz w:val="20"/>
        <w:szCs w:val="20"/>
      </w:rPr>
      <w:t>2</w:t>
    </w:r>
    <w:r w:rsidR="00982BAF">
      <w:rPr>
        <w:rFonts w:ascii="Arial" w:hAnsi="Arial" w:cs="Arial"/>
        <w:sz w:val="20"/>
        <w:szCs w:val="20"/>
      </w:rPr>
      <w:t>4</w:t>
    </w:r>
    <w:r w:rsidR="00972340" w:rsidRPr="00D25C2E">
      <w:rPr>
        <w:rFonts w:ascii="Arial" w:hAnsi="Arial" w:cs="Arial"/>
        <w:sz w:val="20"/>
        <w:szCs w:val="20"/>
      </w:rPr>
      <w:t xml:space="preserve"> </w:t>
    </w:r>
    <w:r w:rsidRPr="00D25C2E">
      <w:rPr>
        <w:rFonts w:ascii="Arial" w:hAnsi="Arial" w:cs="Arial"/>
        <w:sz w:val="20"/>
        <w:szCs w:val="20"/>
      </w:rPr>
      <w:t>Kaplan, Inc.</w:t>
    </w:r>
  </w:p>
  <w:p w14:paraId="320762C0" w14:textId="77777777" w:rsidR="00DE2E72" w:rsidRPr="00414AE1" w:rsidRDefault="00414AE1" w:rsidP="00414AE1">
    <w:pPr>
      <w:pStyle w:val="Footer"/>
      <w:tabs>
        <w:tab w:val="clear" w:pos="4320"/>
        <w:tab w:val="clear" w:pos="8640"/>
      </w:tabs>
      <w:ind w:firstLine="360"/>
      <w:jc w:val="right"/>
      <w:rPr>
        <w:rFonts w:ascii="Arial" w:hAnsi="Arial" w:cs="Arial"/>
        <w:sz w:val="20"/>
        <w:szCs w:val="20"/>
      </w:rPr>
    </w:pPr>
    <w:r>
      <w:rPr>
        <w:rFonts w:ascii="Arial" w:hAnsi="Arial" w:cs="Arial"/>
        <w:sz w:val="20"/>
        <w:szCs w:val="20"/>
      </w:rPr>
      <w:t>May be reproduced for educational uses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8F06F" w14:textId="77777777" w:rsidR="00E04CE3" w:rsidRDefault="00E04CE3">
      <w:r>
        <w:separator/>
      </w:r>
    </w:p>
  </w:footnote>
  <w:footnote w:type="continuationSeparator" w:id="0">
    <w:p w14:paraId="6DE4280B" w14:textId="77777777" w:rsidR="00E04CE3" w:rsidRDefault="00E0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16F28" w14:textId="7A68A624" w:rsidR="0094174A" w:rsidRPr="0094174A" w:rsidRDefault="003B0434" w:rsidP="0094174A">
    <w:pPr>
      <w:pStyle w:val="Header"/>
      <w:jc w:val="right"/>
      <w:rPr>
        <w:rFonts w:ascii="Arial" w:hAnsi="Arial" w:cs="Arial"/>
        <w:i/>
        <w:sz w:val="20"/>
        <w:szCs w:val="20"/>
      </w:rPr>
    </w:pPr>
    <w:r>
      <w:rPr>
        <w:rFonts w:ascii="Arial" w:hAnsi="Arial" w:cs="Arial"/>
        <w:i/>
        <w:sz w:val="20"/>
        <w:szCs w:val="20"/>
      </w:rPr>
      <w:t>CE for Florida Real Estate Professionals, 22E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9480A"/>
    <w:multiLevelType w:val="hybridMultilevel"/>
    <w:tmpl w:val="CD78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1031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68742D9"/>
    <w:multiLevelType w:val="hybridMultilevel"/>
    <w:tmpl w:val="C71EE2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38294464">
    <w:abstractNumId w:val="2"/>
  </w:num>
  <w:num w:numId="2" w16cid:durableId="1399135438">
    <w:abstractNumId w:val="0"/>
  </w:num>
  <w:num w:numId="3" w16cid:durableId="343365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7A0"/>
    <w:rsid w:val="0001414A"/>
    <w:rsid w:val="000632A6"/>
    <w:rsid w:val="00097E04"/>
    <w:rsid w:val="000A674C"/>
    <w:rsid w:val="000D144B"/>
    <w:rsid w:val="000E34F6"/>
    <w:rsid w:val="001159C0"/>
    <w:rsid w:val="00173F59"/>
    <w:rsid w:val="001B1E7E"/>
    <w:rsid w:val="002B00B8"/>
    <w:rsid w:val="002B6B68"/>
    <w:rsid w:val="00356FB2"/>
    <w:rsid w:val="003B0434"/>
    <w:rsid w:val="003D4AB7"/>
    <w:rsid w:val="003F134C"/>
    <w:rsid w:val="00400649"/>
    <w:rsid w:val="00411DA7"/>
    <w:rsid w:val="004147EB"/>
    <w:rsid w:val="00414AE1"/>
    <w:rsid w:val="0044429C"/>
    <w:rsid w:val="004A05EC"/>
    <w:rsid w:val="004F1FBD"/>
    <w:rsid w:val="00506038"/>
    <w:rsid w:val="005B5AB5"/>
    <w:rsid w:val="005B79D6"/>
    <w:rsid w:val="006217A0"/>
    <w:rsid w:val="00623541"/>
    <w:rsid w:val="00635089"/>
    <w:rsid w:val="0068025B"/>
    <w:rsid w:val="00705BF4"/>
    <w:rsid w:val="00712362"/>
    <w:rsid w:val="007214B0"/>
    <w:rsid w:val="007B446A"/>
    <w:rsid w:val="007C0232"/>
    <w:rsid w:val="00916BB3"/>
    <w:rsid w:val="00927FB5"/>
    <w:rsid w:val="0094174A"/>
    <w:rsid w:val="00972340"/>
    <w:rsid w:val="00982BAF"/>
    <w:rsid w:val="0099521C"/>
    <w:rsid w:val="009E2F06"/>
    <w:rsid w:val="00A410F8"/>
    <w:rsid w:val="00A54C6C"/>
    <w:rsid w:val="00A710F9"/>
    <w:rsid w:val="00AB5671"/>
    <w:rsid w:val="00AD6786"/>
    <w:rsid w:val="00AF33C8"/>
    <w:rsid w:val="00B20D6C"/>
    <w:rsid w:val="00B261C9"/>
    <w:rsid w:val="00B4617B"/>
    <w:rsid w:val="00BF3FA6"/>
    <w:rsid w:val="00C26D47"/>
    <w:rsid w:val="00CD3D4D"/>
    <w:rsid w:val="00D00B2E"/>
    <w:rsid w:val="00D15438"/>
    <w:rsid w:val="00D70BAC"/>
    <w:rsid w:val="00D815DC"/>
    <w:rsid w:val="00DE2E72"/>
    <w:rsid w:val="00E04CE3"/>
    <w:rsid w:val="00E1651A"/>
    <w:rsid w:val="00E476FC"/>
    <w:rsid w:val="00E705E2"/>
    <w:rsid w:val="00E76CEE"/>
    <w:rsid w:val="00E9614D"/>
    <w:rsid w:val="00ED76CF"/>
    <w:rsid w:val="00EE2B1C"/>
    <w:rsid w:val="00EF5DF7"/>
    <w:rsid w:val="00F000E2"/>
    <w:rsid w:val="00F3307B"/>
    <w:rsid w:val="00F7081F"/>
    <w:rsid w:val="00FE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823B8"/>
  <w15:docId w15:val="{EC3B7AD7-A604-4074-A96C-B9DE25DB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CEE"/>
    <w:rPr>
      <w:rFonts w:ascii="Century Schoolbook" w:hAnsi="Century Schoolbook"/>
      <w:sz w:val="24"/>
      <w:szCs w:val="24"/>
    </w:rPr>
  </w:style>
  <w:style w:type="paragraph" w:styleId="Heading1">
    <w:name w:val="heading 1"/>
    <w:basedOn w:val="Normal"/>
    <w:next w:val="Normal"/>
    <w:qFormat/>
    <w:rsid w:val="00E76CEE"/>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113"/>
    <w:pPr>
      <w:tabs>
        <w:tab w:val="center" w:pos="4320"/>
        <w:tab w:val="right" w:pos="8640"/>
      </w:tabs>
    </w:pPr>
  </w:style>
  <w:style w:type="character" w:styleId="PageNumber">
    <w:name w:val="page number"/>
    <w:basedOn w:val="DefaultParagraphFont"/>
    <w:rsid w:val="00346113"/>
  </w:style>
  <w:style w:type="paragraph" w:styleId="Header">
    <w:name w:val="header"/>
    <w:basedOn w:val="Normal"/>
    <w:rsid w:val="009B7141"/>
    <w:pPr>
      <w:tabs>
        <w:tab w:val="center" w:pos="4320"/>
        <w:tab w:val="right" w:pos="8640"/>
      </w:tabs>
    </w:pPr>
  </w:style>
  <w:style w:type="paragraph" w:styleId="BalloonText">
    <w:name w:val="Balloon Text"/>
    <w:basedOn w:val="Normal"/>
    <w:semiHidden/>
    <w:rsid w:val="00D142A8"/>
    <w:rPr>
      <w:rFonts w:ascii="Tahoma" w:hAnsi="Tahoma" w:cs="Tahoma"/>
      <w:sz w:val="16"/>
      <w:szCs w:val="16"/>
    </w:rPr>
  </w:style>
  <w:style w:type="paragraph" w:customStyle="1" w:styleId="Default">
    <w:name w:val="Default"/>
    <w:rsid w:val="007C0232"/>
    <w:pPr>
      <w:widowControl w:val="0"/>
      <w:autoSpaceDE w:val="0"/>
      <w:autoSpaceDN w:val="0"/>
      <w:adjustRightInd w:val="0"/>
    </w:pPr>
    <w:rPr>
      <w:rFonts w:ascii="Helvetica" w:hAnsi="Helvetica"/>
      <w:color w:val="000000"/>
      <w:sz w:val="24"/>
      <w:szCs w:val="24"/>
    </w:rPr>
  </w:style>
  <w:style w:type="paragraph" w:customStyle="1" w:styleId="CM16">
    <w:name w:val="CM16"/>
    <w:basedOn w:val="Default"/>
    <w:next w:val="Default"/>
    <w:rsid w:val="007C0232"/>
    <w:pPr>
      <w:spacing w:after="273"/>
    </w:pPr>
    <w:rPr>
      <w:rFonts w:ascii="Times New Roman" w:hAnsi="Times New Roman"/>
      <w:color w:val="auto"/>
    </w:rPr>
  </w:style>
  <w:style w:type="paragraph" w:customStyle="1" w:styleId="CM7">
    <w:name w:val="CM7"/>
    <w:basedOn w:val="Normal"/>
    <w:next w:val="Normal"/>
    <w:rsid w:val="001159C0"/>
    <w:pPr>
      <w:widowControl w:val="0"/>
      <w:autoSpaceDE w:val="0"/>
      <w:autoSpaceDN w:val="0"/>
      <w:adjustRightInd w:val="0"/>
    </w:pPr>
    <w:rPr>
      <w:rFonts w:ascii="BJNPA B+ Palatino" w:eastAsia="Calibri" w:hAnsi="BJNPA B+ Palatino"/>
    </w:rPr>
  </w:style>
  <w:style w:type="character" w:customStyle="1" w:styleId="FooterChar">
    <w:name w:val="Footer Char"/>
    <w:basedOn w:val="DefaultParagraphFont"/>
    <w:link w:val="Footer"/>
    <w:rsid w:val="00414AE1"/>
    <w:rPr>
      <w:rFonts w:ascii="Century Schoolbook" w:hAnsi="Century Schoolbook"/>
      <w:sz w:val="24"/>
      <w:szCs w:val="24"/>
    </w:rPr>
  </w:style>
  <w:style w:type="paragraph" w:customStyle="1" w:styleId="Pa31">
    <w:name w:val="Pa31"/>
    <w:basedOn w:val="Default"/>
    <w:next w:val="Default"/>
    <w:uiPriority w:val="99"/>
    <w:rsid w:val="00B20D6C"/>
    <w:pPr>
      <w:widowControl/>
      <w:spacing w:line="221" w:lineRule="atLeast"/>
    </w:pPr>
    <w:rPr>
      <w:rFonts w:ascii="Goudy Oldstyle Std" w:hAnsi="Goudy Oldstyle Std"/>
      <w:color w:val="auto"/>
    </w:rPr>
  </w:style>
  <w:style w:type="character" w:customStyle="1" w:styleId="A9">
    <w:name w:val="A9"/>
    <w:uiPriority w:val="99"/>
    <w:rsid w:val="00B20D6C"/>
    <w:rPr>
      <w:rFonts w:cs="Goudy Oldstyle Std"/>
      <w:color w:val="211D1E"/>
      <w:sz w:val="22"/>
      <w:szCs w:val="22"/>
    </w:rPr>
  </w:style>
  <w:style w:type="paragraph" w:styleId="Revision">
    <w:name w:val="Revision"/>
    <w:hidden/>
    <w:uiPriority w:val="99"/>
    <w:semiHidden/>
    <w:rsid w:val="00ED76CF"/>
    <w:rPr>
      <w:rFonts w:ascii="Century Schoolbook" w:hAnsi="Century Schoolbook"/>
      <w:sz w:val="24"/>
      <w:szCs w:val="24"/>
    </w:rPr>
  </w:style>
  <w:style w:type="paragraph" w:styleId="ListParagraph">
    <w:name w:val="List Paragraph"/>
    <w:basedOn w:val="Normal"/>
    <w:uiPriority w:val="34"/>
    <w:qFormat/>
    <w:rsid w:val="00982BAF"/>
    <w:pPr>
      <w:ind w:left="720"/>
      <w:contextualSpacing/>
    </w:pPr>
  </w:style>
  <w:style w:type="paragraph" w:customStyle="1" w:styleId="Pa32">
    <w:name w:val="Pa32"/>
    <w:basedOn w:val="Default"/>
    <w:next w:val="Default"/>
    <w:uiPriority w:val="99"/>
    <w:rsid w:val="00712362"/>
    <w:pPr>
      <w:widowControl/>
      <w:spacing w:line="201" w:lineRule="atLeast"/>
    </w:pPr>
    <w:rPr>
      <w:rFonts w:ascii="Helvetica LT Std" w:hAnsi="Helvetica LT Std"/>
      <w:color w:val="auto"/>
    </w:rPr>
  </w:style>
  <w:style w:type="paragraph" w:customStyle="1" w:styleId="Pa36">
    <w:name w:val="Pa36"/>
    <w:basedOn w:val="Default"/>
    <w:next w:val="Default"/>
    <w:uiPriority w:val="99"/>
    <w:rsid w:val="00712362"/>
    <w:pPr>
      <w:widowControl/>
      <w:spacing w:line="201" w:lineRule="atLeast"/>
    </w:pPr>
    <w:rPr>
      <w:rFonts w:ascii="Helvetica LT Std" w:hAnsi="Helvetica LT Std"/>
      <w:color w:val="auto"/>
    </w:rPr>
  </w:style>
  <w:style w:type="paragraph" w:customStyle="1" w:styleId="Pa2">
    <w:name w:val="Pa2"/>
    <w:basedOn w:val="Default"/>
    <w:next w:val="Default"/>
    <w:uiPriority w:val="99"/>
    <w:rsid w:val="00712362"/>
    <w:pPr>
      <w:widowControl/>
      <w:spacing w:line="201" w:lineRule="atLeast"/>
    </w:pPr>
    <w:rPr>
      <w:rFonts w:ascii="Helvetica LT Std" w:hAnsi="Helvetica LT Std"/>
      <w:color w:val="auto"/>
    </w:rPr>
  </w:style>
  <w:style w:type="paragraph" w:customStyle="1" w:styleId="Pa37">
    <w:name w:val="Pa37"/>
    <w:basedOn w:val="Default"/>
    <w:next w:val="Default"/>
    <w:uiPriority w:val="99"/>
    <w:rsid w:val="00712362"/>
    <w:pPr>
      <w:widowControl/>
      <w:spacing w:line="201" w:lineRule="atLeast"/>
    </w:pPr>
    <w:rPr>
      <w:rFonts w:ascii="Helvetica LT Std" w:hAnsi="Helvetica LT Std"/>
      <w:color w:val="auto"/>
    </w:rPr>
  </w:style>
  <w:style w:type="character" w:styleId="Hyperlink">
    <w:name w:val="Hyperlink"/>
    <w:basedOn w:val="DefaultParagraphFont"/>
    <w:unhideWhenUsed/>
    <w:rsid w:val="00916BB3"/>
    <w:rPr>
      <w:color w:val="0000FF" w:themeColor="hyperlink"/>
      <w:u w:val="single"/>
    </w:rPr>
  </w:style>
  <w:style w:type="character" w:styleId="UnresolvedMention">
    <w:name w:val="Unresolved Mention"/>
    <w:basedOn w:val="DefaultParagraphFont"/>
    <w:uiPriority w:val="99"/>
    <w:semiHidden/>
    <w:unhideWhenUsed/>
    <w:rsid w:val="00916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048702">
      <w:bodyDiv w:val="1"/>
      <w:marLeft w:val="0"/>
      <w:marRight w:val="0"/>
      <w:marTop w:val="0"/>
      <w:marBottom w:val="0"/>
      <w:divBdr>
        <w:top w:val="none" w:sz="0" w:space="0" w:color="auto"/>
        <w:left w:val="none" w:sz="0" w:space="0" w:color="auto"/>
        <w:bottom w:val="none" w:sz="0" w:space="0" w:color="auto"/>
        <w:right w:val="none" w:sz="0" w:space="0" w:color="auto"/>
      </w:divBdr>
    </w:div>
    <w:div w:id="1409889734">
      <w:bodyDiv w:val="1"/>
      <w:marLeft w:val="0"/>
      <w:marRight w:val="0"/>
      <w:marTop w:val="0"/>
      <w:marBottom w:val="0"/>
      <w:divBdr>
        <w:top w:val="none" w:sz="0" w:space="0" w:color="auto"/>
        <w:left w:val="none" w:sz="0" w:space="0" w:color="auto"/>
        <w:bottom w:val="none" w:sz="0" w:space="0" w:color="auto"/>
        <w:right w:val="none" w:sz="0" w:space="0" w:color="auto"/>
      </w:divBdr>
    </w:div>
    <w:div w:id="18891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Kaplan Professional Education</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Kugler</dc:creator>
  <cp:lastModifiedBy>Destiny Baitinger</cp:lastModifiedBy>
  <cp:revision>31</cp:revision>
  <cp:lastPrinted>2006-08-18T16:15:00Z</cp:lastPrinted>
  <dcterms:created xsi:type="dcterms:W3CDTF">2013-12-12T15:31:00Z</dcterms:created>
  <dcterms:modified xsi:type="dcterms:W3CDTF">2024-09-04T17:25:00Z</dcterms:modified>
</cp:coreProperties>
</file>