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7405A4"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8831F7">
        <w:rPr>
          <w:rFonts w:ascii="Times New Roman" w:hAnsi="Times New Roman"/>
          <w:i/>
        </w:rPr>
        <w:t>Guide to Passing the AMP Real Estate Exam, Six</w:t>
      </w:r>
      <w:r w:rsidR="00C531E4" w:rsidRPr="00C531E4">
        <w:rPr>
          <w:rFonts w:ascii="Times New Roman" w:hAnsi="Times New Roman"/>
          <w:i/>
        </w:rPr>
        <w:t>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B261C9" w:rsidRPr="007405A4" w:rsidRDefault="00F239F1" w:rsidP="00173F59">
      <w:pPr>
        <w:tabs>
          <w:tab w:val="left" w:pos="1800"/>
        </w:tabs>
        <w:autoSpaceDE w:val="0"/>
        <w:autoSpaceDN w:val="0"/>
        <w:adjustRightInd w:val="0"/>
        <w:rPr>
          <w:rFonts w:ascii="Times New Roman" w:hAnsi="Times New Roman"/>
        </w:rPr>
      </w:pPr>
      <w:r>
        <w:rPr>
          <w:rFonts w:ascii="Times New Roman" w:hAnsi="Times New Roman"/>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356BF0">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A4BAB" w:rsidRPr="00B261C9" w:rsidTr="00356BF0">
        <w:trPr>
          <w:trHeight w:val="150"/>
          <w:jc w:val="center"/>
        </w:trPr>
        <w:tc>
          <w:tcPr>
            <w:tcW w:w="3439" w:type="dxa"/>
          </w:tcPr>
          <w:p w:rsidR="00BA4BAB" w:rsidRPr="009623E5" w:rsidRDefault="008831F7" w:rsidP="009623E5">
            <w:pPr>
              <w:rPr>
                <w:rFonts w:ascii="Times New Roman" w:hAnsi="Times New Roman"/>
              </w:rPr>
            </w:pPr>
            <w:r>
              <w:rPr>
                <w:rFonts w:ascii="Times New Roman" w:hAnsi="Times New Roman"/>
              </w:rPr>
              <w:t>36, 7.</w:t>
            </w:r>
          </w:p>
        </w:tc>
        <w:tc>
          <w:tcPr>
            <w:tcW w:w="3280" w:type="dxa"/>
          </w:tcPr>
          <w:p w:rsidR="00BA4BAB" w:rsidRPr="009623E5" w:rsidRDefault="008831F7" w:rsidP="00BA4BAB">
            <w:pPr>
              <w:rPr>
                <w:rFonts w:ascii="Times New Roman" w:hAnsi="Times New Roman"/>
              </w:rPr>
            </w:pPr>
            <w:r>
              <w:rPr>
                <w:rFonts w:ascii="Times New Roman" w:hAnsi="Times New Roman"/>
              </w:rPr>
              <w:t>(D)</w:t>
            </w:r>
          </w:p>
        </w:tc>
        <w:tc>
          <w:tcPr>
            <w:tcW w:w="3359" w:type="dxa"/>
          </w:tcPr>
          <w:p w:rsidR="00BA4BAB" w:rsidRPr="009623E5" w:rsidRDefault="008831F7" w:rsidP="009623E5">
            <w:pPr>
              <w:rPr>
                <w:rFonts w:ascii="Times New Roman" w:hAnsi="Times New Roman"/>
              </w:rPr>
            </w:pPr>
            <w:r>
              <w:rPr>
                <w:rFonts w:ascii="Times New Roman" w:hAnsi="Times New Roman"/>
              </w:rPr>
              <w:t>(B)</w:t>
            </w:r>
          </w:p>
        </w:tc>
      </w:tr>
      <w:tr w:rsidR="0011623E" w:rsidRPr="00B261C9" w:rsidTr="00356BF0">
        <w:trPr>
          <w:trHeight w:val="150"/>
          <w:jc w:val="center"/>
        </w:trPr>
        <w:tc>
          <w:tcPr>
            <w:tcW w:w="3439" w:type="dxa"/>
          </w:tcPr>
          <w:p w:rsidR="0011623E" w:rsidRDefault="0011623E" w:rsidP="009623E5">
            <w:pPr>
              <w:rPr>
                <w:rFonts w:ascii="Times New Roman" w:hAnsi="Times New Roman"/>
              </w:rPr>
            </w:pPr>
            <w:r>
              <w:rPr>
                <w:rFonts w:ascii="Times New Roman" w:hAnsi="Times New Roman"/>
              </w:rPr>
              <w:t>71, 69.</w:t>
            </w:r>
          </w:p>
        </w:tc>
        <w:tc>
          <w:tcPr>
            <w:tcW w:w="3280" w:type="dxa"/>
          </w:tcPr>
          <w:p w:rsidR="0011623E" w:rsidRDefault="0011623E" w:rsidP="00BA4BAB">
            <w:pPr>
              <w:rPr>
                <w:rFonts w:ascii="Times New Roman" w:hAnsi="Times New Roman"/>
              </w:rPr>
            </w:pPr>
            <w:r>
              <w:rPr>
                <w:rFonts w:ascii="Times New Roman" w:hAnsi="Times New Roman"/>
              </w:rPr>
              <w:t>(B)</w:t>
            </w:r>
          </w:p>
        </w:tc>
        <w:tc>
          <w:tcPr>
            <w:tcW w:w="3359" w:type="dxa"/>
          </w:tcPr>
          <w:p w:rsidR="0011623E" w:rsidRDefault="0011623E" w:rsidP="009623E5">
            <w:pPr>
              <w:rPr>
                <w:rFonts w:ascii="Times New Roman" w:hAnsi="Times New Roman"/>
              </w:rPr>
            </w:pPr>
            <w:r>
              <w:rPr>
                <w:rFonts w:ascii="Times New Roman" w:hAnsi="Times New Roman"/>
              </w:rPr>
              <w:t>(C)</w:t>
            </w:r>
          </w:p>
        </w:tc>
      </w:tr>
      <w:tr w:rsidR="0042014E" w:rsidRPr="00B261C9" w:rsidTr="00356BF0">
        <w:trPr>
          <w:trHeight w:val="150"/>
          <w:jc w:val="center"/>
        </w:trPr>
        <w:tc>
          <w:tcPr>
            <w:tcW w:w="3439" w:type="dxa"/>
          </w:tcPr>
          <w:p w:rsidR="0042014E" w:rsidRDefault="008831F7" w:rsidP="009623E5">
            <w:pPr>
              <w:rPr>
                <w:rFonts w:ascii="Times New Roman" w:hAnsi="Times New Roman"/>
              </w:rPr>
            </w:pPr>
            <w:r>
              <w:rPr>
                <w:rFonts w:ascii="Times New Roman" w:hAnsi="Times New Roman"/>
              </w:rPr>
              <w:t>108</w:t>
            </w:r>
            <w:r w:rsidR="0042014E">
              <w:rPr>
                <w:rFonts w:ascii="Times New Roman" w:hAnsi="Times New Roman"/>
              </w:rPr>
              <w:t xml:space="preserve">, </w:t>
            </w:r>
            <w:r>
              <w:rPr>
                <w:rFonts w:ascii="Times New Roman" w:hAnsi="Times New Roman"/>
              </w:rPr>
              <w:t>13.</w:t>
            </w:r>
          </w:p>
        </w:tc>
        <w:tc>
          <w:tcPr>
            <w:tcW w:w="3280" w:type="dxa"/>
          </w:tcPr>
          <w:p w:rsidR="0042014E" w:rsidRPr="00BA4BAB" w:rsidRDefault="008831F7" w:rsidP="00BA4BAB">
            <w:pPr>
              <w:rPr>
                <w:rFonts w:ascii="Times New Roman" w:hAnsi="Times New Roman"/>
              </w:rPr>
            </w:pPr>
            <w:r>
              <w:rPr>
                <w:rFonts w:ascii="Times New Roman" w:hAnsi="Times New Roman"/>
              </w:rPr>
              <w:t>(D)</w:t>
            </w:r>
          </w:p>
        </w:tc>
        <w:tc>
          <w:tcPr>
            <w:tcW w:w="3359" w:type="dxa"/>
          </w:tcPr>
          <w:p w:rsidR="0042014E" w:rsidRPr="00BA4BAB" w:rsidRDefault="008831F7" w:rsidP="009623E5">
            <w:pPr>
              <w:rPr>
                <w:rFonts w:ascii="Times New Roman" w:hAnsi="Times New Roman"/>
              </w:rPr>
            </w:pPr>
            <w:r>
              <w:rPr>
                <w:rFonts w:ascii="Times New Roman" w:hAnsi="Times New Roman"/>
              </w:rPr>
              <w:t>(C)</w:t>
            </w:r>
          </w:p>
        </w:tc>
      </w:tr>
      <w:tr w:rsidR="00BA4BAB" w:rsidRPr="00B261C9" w:rsidTr="00356BF0">
        <w:trPr>
          <w:trHeight w:val="150"/>
          <w:jc w:val="center"/>
        </w:trPr>
        <w:tc>
          <w:tcPr>
            <w:tcW w:w="3439" w:type="dxa"/>
          </w:tcPr>
          <w:p w:rsidR="00BA4BAB" w:rsidRPr="009623E5" w:rsidRDefault="000E3E19" w:rsidP="009623E5">
            <w:pPr>
              <w:rPr>
                <w:rFonts w:ascii="Times New Roman" w:hAnsi="Times New Roman"/>
              </w:rPr>
            </w:pPr>
            <w:r>
              <w:rPr>
                <w:rFonts w:ascii="Times New Roman" w:hAnsi="Times New Roman"/>
              </w:rPr>
              <w:t>108, 15</w:t>
            </w:r>
            <w:r w:rsidR="008831F7">
              <w:rPr>
                <w:rFonts w:ascii="Times New Roman" w:hAnsi="Times New Roman"/>
              </w:rPr>
              <w:t>.</w:t>
            </w:r>
          </w:p>
        </w:tc>
        <w:tc>
          <w:tcPr>
            <w:tcW w:w="3280" w:type="dxa"/>
          </w:tcPr>
          <w:p w:rsidR="00BA4BAB" w:rsidRPr="009623E5" w:rsidRDefault="008831F7" w:rsidP="008349C3">
            <w:pPr>
              <w:rPr>
                <w:rFonts w:ascii="Times New Roman" w:hAnsi="Times New Roman"/>
              </w:rPr>
            </w:pPr>
            <w:r>
              <w:rPr>
                <w:rFonts w:ascii="Times New Roman" w:hAnsi="Times New Roman"/>
              </w:rPr>
              <w:t>(B)</w:t>
            </w:r>
          </w:p>
        </w:tc>
        <w:tc>
          <w:tcPr>
            <w:tcW w:w="3359" w:type="dxa"/>
          </w:tcPr>
          <w:p w:rsidR="008349C3" w:rsidRPr="009623E5" w:rsidRDefault="008831F7" w:rsidP="009623E5">
            <w:pPr>
              <w:rPr>
                <w:rFonts w:ascii="Times New Roman" w:hAnsi="Times New Roman"/>
              </w:rPr>
            </w:pPr>
            <w:r>
              <w:rPr>
                <w:rFonts w:ascii="Times New Roman" w:hAnsi="Times New Roman"/>
              </w:rPr>
              <w:t>(A)</w:t>
            </w:r>
          </w:p>
        </w:tc>
      </w:tr>
      <w:tr w:rsidR="00C251A6" w:rsidRPr="00B261C9" w:rsidTr="00356BF0">
        <w:trPr>
          <w:trHeight w:val="150"/>
          <w:jc w:val="center"/>
        </w:trPr>
        <w:tc>
          <w:tcPr>
            <w:tcW w:w="3439" w:type="dxa"/>
          </w:tcPr>
          <w:p w:rsidR="00C251A6" w:rsidRDefault="00C251A6" w:rsidP="009623E5">
            <w:pPr>
              <w:rPr>
                <w:rFonts w:ascii="Times New Roman" w:hAnsi="Times New Roman"/>
              </w:rPr>
            </w:pPr>
            <w:r>
              <w:rPr>
                <w:rFonts w:ascii="Times New Roman" w:hAnsi="Times New Roman"/>
              </w:rPr>
              <w:t>236, 10.</w:t>
            </w:r>
          </w:p>
        </w:tc>
        <w:tc>
          <w:tcPr>
            <w:tcW w:w="3280" w:type="dxa"/>
          </w:tcPr>
          <w:p w:rsidR="00C251A6" w:rsidRDefault="00C251A6" w:rsidP="008349C3">
            <w:pPr>
              <w:rPr>
                <w:rFonts w:ascii="Times New Roman" w:hAnsi="Times New Roman"/>
              </w:rPr>
            </w:pPr>
            <w:r>
              <w:rPr>
                <w:rFonts w:ascii="Times New Roman" w:hAnsi="Times New Roman"/>
              </w:rPr>
              <w:t>$5,933.33</w:t>
            </w:r>
          </w:p>
        </w:tc>
        <w:tc>
          <w:tcPr>
            <w:tcW w:w="3359" w:type="dxa"/>
          </w:tcPr>
          <w:p w:rsidR="00C251A6" w:rsidRDefault="00C251A6" w:rsidP="009623E5">
            <w:pPr>
              <w:rPr>
                <w:rFonts w:ascii="Times New Roman" w:hAnsi="Times New Roman"/>
              </w:rPr>
            </w:pPr>
            <w:r>
              <w:rPr>
                <w:rFonts w:ascii="Times New Roman" w:hAnsi="Times New Roman"/>
              </w:rPr>
              <w:t>$5,833.33</w:t>
            </w:r>
          </w:p>
        </w:tc>
      </w:tr>
      <w:tr w:rsidR="00563CAC" w:rsidRPr="00B261C9" w:rsidTr="00356BF0">
        <w:trPr>
          <w:trHeight w:val="150"/>
          <w:jc w:val="center"/>
        </w:trPr>
        <w:tc>
          <w:tcPr>
            <w:tcW w:w="3439" w:type="dxa"/>
          </w:tcPr>
          <w:p w:rsidR="00563CAC" w:rsidRDefault="00563CAC" w:rsidP="009623E5">
            <w:pPr>
              <w:rPr>
                <w:rFonts w:ascii="Times New Roman" w:hAnsi="Times New Roman"/>
              </w:rPr>
            </w:pPr>
            <w:r>
              <w:rPr>
                <w:rFonts w:ascii="Times New Roman" w:hAnsi="Times New Roman"/>
              </w:rPr>
              <w:t>274</w:t>
            </w:r>
          </w:p>
        </w:tc>
        <w:tc>
          <w:tcPr>
            <w:tcW w:w="3280" w:type="dxa"/>
          </w:tcPr>
          <w:p w:rsidR="00563CAC" w:rsidRPr="00563CAC" w:rsidRDefault="00563CAC" w:rsidP="00563CAC">
            <w:pPr>
              <w:rPr>
                <w:rFonts w:ascii="Times New Roman" w:hAnsi="Times New Roman"/>
              </w:rPr>
            </w:pPr>
            <w:r w:rsidRPr="00563CAC">
              <w:rPr>
                <w:rFonts w:ascii="Times New Roman" w:hAnsi="Times New Roman"/>
              </w:rPr>
              <w:t>A. A land contract is also called an installment</w:t>
            </w:r>
            <w:r>
              <w:rPr>
                <w:rFonts w:ascii="Times New Roman" w:hAnsi="Times New Roman"/>
              </w:rPr>
              <w:t xml:space="preserve"> </w:t>
            </w:r>
            <w:r w:rsidRPr="00563CAC">
              <w:rPr>
                <w:rFonts w:ascii="Times New Roman" w:hAnsi="Times New Roman"/>
              </w:rPr>
              <w:t>contract.</w:t>
            </w:r>
          </w:p>
          <w:p w:rsidR="00563CAC" w:rsidRPr="00563CAC" w:rsidRDefault="00563CAC" w:rsidP="00563CAC">
            <w:pPr>
              <w:rPr>
                <w:rFonts w:ascii="Times New Roman" w:hAnsi="Times New Roman"/>
              </w:rPr>
            </w:pPr>
            <w:r w:rsidRPr="00563CAC">
              <w:rPr>
                <w:rFonts w:ascii="Times New Roman" w:hAnsi="Times New Roman"/>
              </w:rPr>
              <w:t>B. If the “ti</w:t>
            </w:r>
            <w:r>
              <w:rPr>
                <w:rFonts w:ascii="Times New Roman" w:hAnsi="Times New Roman"/>
              </w:rPr>
              <w:t xml:space="preserve">me is of the essence” clause is </w:t>
            </w:r>
            <w:r w:rsidRPr="00563CAC">
              <w:rPr>
                <w:rFonts w:ascii="Times New Roman" w:hAnsi="Times New Roman"/>
              </w:rPr>
              <w:t>in a contract, the duties are expected to</w:t>
            </w:r>
            <w:r>
              <w:rPr>
                <w:rFonts w:ascii="Times New Roman" w:hAnsi="Times New Roman"/>
              </w:rPr>
              <w:t xml:space="preserve"> </w:t>
            </w:r>
            <w:r w:rsidRPr="00563CAC">
              <w:rPr>
                <w:rFonts w:ascii="Times New Roman" w:hAnsi="Times New Roman"/>
              </w:rPr>
              <w:t>be performed within a reasonable time.</w:t>
            </w:r>
          </w:p>
          <w:p w:rsidR="00563CAC" w:rsidRPr="00563CAC" w:rsidRDefault="00563CAC" w:rsidP="00563CAC">
            <w:pPr>
              <w:rPr>
                <w:rFonts w:ascii="Times New Roman" w:hAnsi="Times New Roman"/>
              </w:rPr>
            </w:pPr>
            <w:r w:rsidRPr="00563CAC">
              <w:rPr>
                <w:rFonts w:ascii="Times New Roman" w:hAnsi="Times New Roman"/>
              </w:rPr>
              <w:t>C. An equi</w:t>
            </w:r>
            <w:r>
              <w:rPr>
                <w:rFonts w:ascii="Times New Roman" w:hAnsi="Times New Roman"/>
              </w:rPr>
              <w:t xml:space="preserve">table title is transferred when </w:t>
            </w:r>
            <w:r w:rsidRPr="00563CAC">
              <w:rPr>
                <w:rFonts w:ascii="Times New Roman" w:hAnsi="Times New Roman"/>
              </w:rPr>
              <w:t>the deed is signed by the grantor at the</w:t>
            </w:r>
            <w:r>
              <w:rPr>
                <w:rFonts w:ascii="Times New Roman" w:hAnsi="Times New Roman"/>
              </w:rPr>
              <w:t xml:space="preserve"> </w:t>
            </w:r>
            <w:r w:rsidRPr="00563CAC">
              <w:rPr>
                <w:rFonts w:ascii="Times New Roman" w:hAnsi="Times New Roman"/>
              </w:rPr>
              <w:t>closing table.</w:t>
            </w:r>
          </w:p>
          <w:p w:rsidR="00563CAC" w:rsidRDefault="00563CAC" w:rsidP="00563CAC">
            <w:pPr>
              <w:rPr>
                <w:rFonts w:ascii="Times New Roman" w:hAnsi="Times New Roman"/>
              </w:rPr>
            </w:pPr>
            <w:r w:rsidRPr="00563CAC">
              <w:rPr>
                <w:rFonts w:ascii="Times New Roman" w:hAnsi="Times New Roman"/>
              </w:rPr>
              <w:t>D. Liqu</w:t>
            </w:r>
            <w:r>
              <w:rPr>
                <w:rFonts w:ascii="Times New Roman" w:hAnsi="Times New Roman"/>
              </w:rPr>
              <w:t xml:space="preserve">idated damages are agreed to in </w:t>
            </w:r>
            <w:r w:rsidRPr="00563CAC">
              <w:rPr>
                <w:rFonts w:ascii="Times New Roman" w:hAnsi="Times New Roman"/>
              </w:rPr>
              <w:t>advance by the parties.</w:t>
            </w:r>
          </w:p>
        </w:tc>
        <w:tc>
          <w:tcPr>
            <w:tcW w:w="3359" w:type="dxa"/>
          </w:tcPr>
          <w:p w:rsidR="00563CAC" w:rsidRPr="00563CAC" w:rsidRDefault="00563CAC" w:rsidP="00563CAC">
            <w:pPr>
              <w:rPr>
                <w:rFonts w:ascii="Times New Roman" w:hAnsi="Times New Roman"/>
              </w:rPr>
            </w:pPr>
            <w:r w:rsidRPr="00563CAC">
              <w:rPr>
                <w:rFonts w:ascii="Times New Roman" w:hAnsi="Times New Roman"/>
              </w:rPr>
              <w:t>A. A land contract is also called an installment</w:t>
            </w:r>
            <w:r>
              <w:rPr>
                <w:rFonts w:ascii="Times New Roman" w:hAnsi="Times New Roman"/>
              </w:rPr>
              <w:t xml:space="preserve"> </w:t>
            </w:r>
            <w:r w:rsidRPr="00563CAC">
              <w:rPr>
                <w:rFonts w:ascii="Times New Roman" w:hAnsi="Times New Roman"/>
              </w:rPr>
              <w:t>contract.</w:t>
            </w:r>
          </w:p>
          <w:p w:rsidR="00563CAC" w:rsidRPr="00563CAC" w:rsidRDefault="00563CAC" w:rsidP="00563CAC">
            <w:pPr>
              <w:rPr>
                <w:rFonts w:ascii="Times New Roman" w:hAnsi="Times New Roman"/>
              </w:rPr>
            </w:pPr>
            <w:r w:rsidRPr="00563CAC">
              <w:rPr>
                <w:rFonts w:ascii="Times New Roman" w:hAnsi="Times New Roman"/>
              </w:rPr>
              <w:t>B. If the “ti</w:t>
            </w:r>
            <w:r>
              <w:rPr>
                <w:rFonts w:ascii="Times New Roman" w:hAnsi="Times New Roman"/>
              </w:rPr>
              <w:t xml:space="preserve">me is of the essence” clause is </w:t>
            </w:r>
            <w:r w:rsidRPr="00563CAC">
              <w:rPr>
                <w:rFonts w:ascii="Times New Roman" w:hAnsi="Times New Roman"/>
              </w:rPr>
              <w:t>in a contract, the duties are expected to</w:t>
            </w:r>
            <w:r>
              <w:rPr>
                <w:rFonts w:ascii="Times New Roman" w:hAnsi="Times New Roman"/>
              </w:rPr>
              <w:t xml:space="preserve"> </w:t>
            </w:r>
            <w:r w:rsidRPr="00563CAC">
              <w:rPr>
                <w:rFonts w:ascii="Times New Roman" w:hAnsi="Times New Roman"/>
              </w:rPr>
              <w:t xml:space="preserve">be performed </w:t>
            </w:r>
            <w:r>
              <w:rPr>
                <w:rFonts w:ascii="Times New Roman" w:hAnsi="Times New Roman"/>
              </w:rPr>
              <w:t>on</w:t>
            </w:r>
            <w:r w:rsidRPr="00563CAC">
              <w:rPr>
                <w:rFonts w:ascii="Times New Roman" w:hAnsi="Times New Roman"/>
              </w:rPr>
              <w:t xml:space="preserve"> time.</w:t>
            </w:r>
          </w:p>
          <w:p w:rsidR="00563CAC" w:rsidRPr="00563CAC" w:rsidRDefault="00563CAC" w:rsidP="00563CAC">
            <w:pPr>
              <w:rPr>
                <w:rFonts w:ascii="Times New Roman" w:hAnsi="Times New Roman"/>
              </w:rPr>
            </w:pPr>
            <w:r w:rsidRPr="00563CAC">
              <w:rPr>
                <w:rFonts w:ascii="Times New Roman" w:hAnsi="Times New Roman"/>
              </w:rPr>
              <w:t>C. An equi</w:t>
            </w:r>
            <w:r>
              <w:rPr>
                <w:rFonts w:ascii="Times New Roman" w:hAnsi="Times New Roman"/>
              </w:rPr>
              <w:t xml:space="preserve">table title is transferred when </w:t>
            </w:r>
            <w:r w:rsidRPr="00563CAC">
              <w:rPr>
                <w:rFonts w:ascii="Times New Roman" w:hAnsi="Times New Roman"/>
              </w:rPr>
              <w:t>the deed is signed by the grantor at the</w:t>
            </w:r>
            <w:r>
              <w:rPr>
                <w:rFonts w:ascii="Times New Roman" w:hAnsi="Times New Roman"/>
              </w:rPr>
              <w:t xml:space="preserve"> </w:t>
            </w:r>
            <w:r w:rsidRPr="00563CAC">
              <w:rPr>
                <w:rFonts w:ascii="Times New Roman" w:hAnsi="Times New Roman"/>
              </w:rPr>
              <w:t>closing table.</w:t>
            </w:r>
          </w:p>
          <w:p w:rsidR="00563CAC" w:rsidRDefault="00563CAC" w:rsidP="00563CAC">
            <w:pPr>
              <w:rPr>
                <w:rFonts w:ascii="Times New Roman" w:hAnsi="Times New Roman"/>
              </w:rPr>
            </w:pPr>
            <w:r w:rsidRPr="00563CAC">
              <w:rPr>
                <w:rFonts w:ascii="Times New Roman" w:hAnsi="Times New Roman"/>
              </w:rPr>
              <w:t>D. Liqu</w:t>
            </w:r>
            <w:r>
              <w:rPr>
                <w:rFonts w:ascii="Times New Roman" w:hAnsi="Times New Roman"/>
              </w:rPr>
              <w:t xml:space="preserve">idated damages are agreed to in </w:t>
            </w:r>
            <w:r w:rsidRPr="00563CAC">
              <w:rPr>
                <w:rFonts w:ascii="Times New Roman" w:hAnsi="Times New Roman"/>
              </w:rPr>
              <w:t>advance by the parties.</w:t>
            </w:r>
          </w:p>
        </w:tc>
      </w:tr>
    </w:tbl>
    <w:p w:rsidR="00173F59" w:rsidRDefault="00173F59" w:rsidP="00513256">
      <w:pPr>
        <w:tabs>
          <w:tab w:val="left" w:pos="1800"/>
        </w:tabs>
        <w:autoSpaceDE w:val="0"/>
        <w:autoSpaceDN w:val="0"/>
        <w:adjustRightInd w:val="0"/>
        <w:rPr>
          <w:rFonts w:ascii="Times New Roman" w:hAnsi="Times New Roman"/>
        </w:rPr>
      </w:pPr>
    </w:p>
    <w:p w:rsidR="00552BE6" w:rsidRDefault="00F239F1" w:rsidP="00552BE6">
      <w:pPr>
        <w:tabs>
          <w:tab w:val="left" w:pos="1800"/>
        </w:tabs>
        <w:autoSpaceDE w:val="0"/>
        <w:autoSpaceDN w:val="0"/>
        <w:adjustRightInd w:val="0"/>
        <w:rPr>
          <w:rFonts w:ascii="Times New Roman" w:hAnsi="Times New Roman"/>
        </w:rPr>
      </w:pPr>
      <w:r>
        <w:rPr>
          <w:rFonts w:ascii="Times New Roman" w:hAnsi="Times New Roman"/>
        </w:rPr>
        <w:t>First</w:t>
      </w:r>
      <w:r w:rsidR="00552BE6">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552BE6" w:rsidRPr="00B261C9" w:rsidTr="00552BE6">
        <w:trPr>
          <w:trHeight w:val="144"/>
          <w:jc w:val="center"/>
        </w:trPr>
        <w:tc>
          <w:tcPr>
            <w:tcW w:w="3357"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80"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552BE6" w:rsidRPr="009623E5" w:rsidTr="00552BE6">
        <w:trPr>
          <w:trHeight w:val="150"/>
          <w:jc w:val="center"/>
        </w:trPr>
        <w:tc>
          <w:tcPr>
            <w:tcW w:w="3357" w:type="dxa"/>
          </w:tcPr>
          <w:p w:rsidR="00552BE6" w:rsidRPr="009623E5" w:rsidRDefault="00552BE6" w:rsidP="00C241E8">
            <w:pPr>
              <w:rPr>
                <w:rFonts w:ascii="Times New Roman" w:hAnsi="Times New Roman"/>
              </w:rPr>
            </w:pPr>
            <w:r>
              <w:rPr>
                <w:rFonts w:ascii="Times New Roman" w:hAnsi="Times New Roman"/>
              </w:rPr>
              <w:t>70, 28.</w:t>
            </w:r>
          </w:p>
        </w:tc>
        <w:tc>
          <w:tcPr>
            <w:tcW w:w="3203" w:type="dxa"/>
          </w:tcPr>
          <w:p w:rsidR="00552BE6" w:rsidRPr="009623E5" w:rsidRDefault="00552BE6" w:rsidP="00C241E8">
            <w:pPr>
              <w:rPr>
                <w:rFonts w:ascii="Times New Roman" w:hAnsi="Times New Roman"/>
              </w:rPr>
            </w:pPr>
            <w:r w:rsidRPr="007405A4">
              <w:rPr>
                <w:rFonts w:ascii="Times New Roman" w:hAnsi="Times New Roman"/>
              </w:rPr>
              <w:t>(B) Less than all the leasehold interest is</w:t>
            </w:r>
            <w:r>
              <w:rPr>
                <w:rFonts w:ascii="Times New Roman" w:hAnsi="Times New Roman"/>
              </w:rPr>
              <w:t xml:space="preserve"> </w:t>
            </w:r>
            <w:r w:rsidRPr="007405A4">
              <w:rPr>
                <w:rFonts w:ascii="Times New Roman" w:hAnsi="Times New Roman"/>
              </w:rPr>
              <w:t>transferred in an assignment.</w:t>
            </w:r>
          </w:p>
        </w:tc>
        <w:tc>
          <w:tcPr>
            <w:tcW w:w="3280" w:type="dxa"/>
          </w:tcPr>
          <w:p w:rsidR="00552BE6" w:rsidRPr="009623E5" w:rsidRDefault="00552BE6" w:rsidP="00C241E8">
            <w:pPr>
              <w:rPr>
                <w:rFonts w:ascii="Times New Roman" w:hAnsi="Times New Roman"/>
              </w:rPr>
            </w:pPr>
            <w:r w:rsidRPr="007405A4">
              <w:rPr>
                <w:rFonts w:ascii="Times New Roman" w:hAnsi="Times New Roman"/>
              </w:rPr>
              <w:t>(B) Less than all the leasehold interest is</w:t>
            </w:r>
            <w:r>
              <w:rPr>
                <w:rFonts w:ascii="Times New Roman" w:hAnsi="Times New Roman"/>
              </w:rPr>
              <w:t xml:space="preserve"> transferred in a sublease.</w:t>
            </w:r>
          </w:p>
        </w:tc>
      </w:tr>
      <w:tr w:rsidR="00552BE6" w:rsidRPr="007405A4" w:rsidTr="00552BE6">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52BE6" w:rsidRDefault="00552BE6" w:rsidP="00C241E8">
            <w:pPr>
              <w:rPr>
                <w:rFonts w:ascii="Times New Roman" w:hAnsi="Times New Roman"/>
              </w:rPr>
            </w:pPr>
            <w:r>
              <w:rPr>
                <w:rFonts w:ascii="Times New Roman" w:hAnsi="Times New Roman"/>
              </w:rPr>
              <w:t xml:space="preserve">108, 14. </w:t>
            </w:r>
          </w:p>
        </w:tc>
        <w:tc>
          <w:tcPr>
            <w:tcW w:w="3203"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r w:rsidRPr="007405A4">
              <w:rPr>
                <w:rFonts w:ascii="Times New Roman" w:hAnsi="Times New Roman"/>
              </w:rPr>
              <w:t>(A) The rat</w:t>
            </w:r>
            <w:r>
              <w:rPr>
                <w:rFonts w:ascii="Times New Roman" w:hAnsi="Times New Roman"/>
              </w:rPr>
              <w:t xml:space="preserve">io that compares the property’s </w:t>
            </w:r>
            <w:r w:rsidRPr="007405A4">
              <w:rPr>
                <w:rFonts w:ascii="Times New Roman" w:hAnsi="Times New Roman"/>
              </w:rPr>
              <w:t>net income to the money invested is the</w:t>
            </w:r>
            <w:r>
              <w:rPr>
                <w:rFonts w:ascii="Times New Roman" w:hAnsi="Times New Roman"/>
              </w:rPr>
              <w:t xml:space="preserve"> </w:t>
            </w:r>
            <w:r w:rsidRPr="007405A4">
              <w:rPr>
                <w:rFonts w:ascii="Times New Roman" w:hAnsi="Times New Roman"/>
              </w:rPr>
              <w:t xml:space="preserve">rate of return. It </w:t>
            </w:r>
            <w:proofErr w:type="gramStart"/>
            <w:r w:rsidRPr="007405A4">
              <w:rPr>
                <w:rFonts w:ascii="Times New Roman" w:hAnsi="Times New Roman"/>
              </w:rPr>
              <w:t>may be computed</w:t>
            </w:r>
            <w:proofErr w:type="gramEnd"/>
            <w:r w:rsidRPr="007405A4">
              <w:rPr>
                <w:rFonts w:ascii="Times New Roman" w:hAnsi="Times New Roman"/>
              </w:rPr>
              <w:t xml:space="preserve"> on an</w:t>
            </w:r>
            <w:r>
              <w:rPr>
                <w:rFonts w:ascii="Times New Roman" w:hAnsi="Times New Roman"/>
              </w:rPr>
              <w:t xml:space="preserve"> </w:t>
            </w:r>
            <w:r w:rsidRPr="007405A4">
              <w:rPr>
                <w:rFonts w:ascii="Times New Roman" w:hAnsi="Times New Roman"/>
              </w:rPr>
              <w:t>after-tax flow or before-tax flow basis.</w:t>
            </w:r>
          </w:p>
        </w:tc>
        <w:tc>
          <w:tcPr>
            <w:tcW w:w="3280"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r w:rsidRPr="007405A4">
              <w:rPr>
                <w:rFonts w:ascii="Times New Roman" w:hAnsi="Times New Roman"/>
              </w:rPr>
              <w:t>(A) The rat</w:t>
            </w:r>
            <w:r>
              <w:rPr>
                <w:rFonts w:ascii="Times New Roman" w:hAnsi="Times New Roman"/>
              </w:rPr>
              <w:t xml:space="preserve">io that compares the property’s </w:t>
            </w:r>
            <w:r w:rsidRPr="007405A4">
              <w:rPr>
                <w:rFonts w:ascii="Times New Roman" w:hAnsi="Times New Roman"/>
              </w:rPr>
              <w:t>net income to the money invested is the</w:t>
            </w:r>
            <w:r>
              <w:rPr>
                <w:rFonts w:ascii="Times New Roman" w:hAnsi="Times New Roman"/>
              </w:rPr>
              <w:t xml:space="preserve"> rate of investment</w:t>
            </w:r>
            <w:r w:rsidRPr="007405A4">
              <w:rPr>
                <w:rFonts w:ascii="Times New Roman" w:hAnsi="Times New Roman"/>
              </w:rPr>
              <w:t xml:space="preserve">. It </w:t>
            </w:r>
            <w:proofErr w:type="gramStart"/>
            <w:r w:rsidRPr="007405A4">
              <w:rPr>
                <w:rFonts w:ascii="Times New Roman" w:hAnsi="Times New Roman"/>
              </w:rPr>
              <w:t>may be computed</w:t>
            </w:r>
            <w:proofErr w:type="gramEnd"/>
            <w:r w:rsidRPr="007405A4">
              <w:rPr>
                <w:rFonts w:ascii="Times New Roman" w:hAnsi="Times New Roman"/>
              </w:rPr>
              <w:t xml:space="preserve"> on an</w:t>
            </w:r>
            <w:r>
              <w:rPr>
                <w:rFonts w:ascii="Times New Roman" w:hAnsi="Times New Roman"/>
              </w:rPr>
              <w:t xml:space="preserve"> </w:t>
            </w:r>
            <w:r w:rsidRPr="007405A4">
              <w:rPr>
                <w:rFonts w:ascii="Times New Roman" w:hAnsi="Times New Roman"/>
              </w:rPr>
              <w:t>after-tax flow or before-tax flow basis.</w:t>
            </w:r>
          </w:p>
        </w:tc>
      </w:tr>
      <w:tr w:rsidR="00552BE6" w:rsidRPr="007405A4" w:rsidTr="00552BE6">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52BE6" w:rsidRDefault="00552BE6" w:rsidP="00C241E8">
            <w:pPr>
              <w:rPr>
                <w:rFonts w:ascii="Times New Roman" w:hAnsi="Times New Roman"/>
              </w:rPr>
            </w:pPr>
            <w:r>
              <w:rPr>
                <w:rFonts w:ascii="Times New Roman" w:hAnsi="Times New Roman"/>
              </w:rPr>
              <w:t>279, 81.</w:t>
            </w:r>
          </w:p>
        </w:tc>
        <w:tc>
          <w:tcPr>
            <w:tcW w:w="3203"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r w:rsidRPr="007405A4">
              <w:rPr>
                <w:rFonts w:ascii="Times New Roman" w:hAnsi="Times New Roman"/>
              </w:rPr>
              <w:t>81. (A) 100% – 6% = 94%</w:t>
            </w:r>
          </w:p>
          <w:p w:rsidR="00552BE6" w:rsidRPr="007405A4" w:rsidRDefault="00552BE6" w:rsidP="00C241E8">
            <w:pPr>
              <w:rPr>
                <w:rFonts w:ascii="Times New Roman" w:hAnsi="Times New Roman"/>
              </w:rPr>
            </w:pPr>
            <w:r w:rsidRPr="007405A4">
              <w:rPr>
                <w:rFonts w:ascii="Times New Roman" w:hAnsi="Times New Roman"/>
              </w:rPr>
              <w:t>A = 30’ × 50’ = 1,500 × 2 = 3,000 sq. ft.</w:t>
            </w:r>
          </w:p>
          <w:p w:rsidR="00552BE6" w:rsidRPr="007405A4" w:rsidRDefault="00552BE6" w:rsidP="00C241E8">
            <w:pPr>
              <w:rPr>
                <w:rFonts w:ascii="Times New Roman" w:hAnsi="Times New Roman"/>
              </w:rPr>
            </w:pPr>
            <w:r w:rsidRPr="007405A4">
              <w:rPr>
                <w:rFonts w:ascii="Times New Roman" w:hAnsi="Times New Roman"/>
              </w:rPr>
              <w:t>3,000 × $100 = $300,000</w:t>
            </w:r>
          </w:p>
          <w:p w:rsidR="00552BE6" w:rsidRPr="007405A4" w:rsidRDefault="00552BE6" w:rsidP="00C241E8">
            <w:pPr>
              <w:rPr>
                <w:rFonts w:ascii="Times New Roman" w:hAnsi="Times New Roman"/>
              </w:rPr>
            </w:pPr>
            <w:r w:rsidRPr="007405A4">
              <w:rPr>
                <w:rFonts w:ascii="Times New Roman" w:hAnsi="Times New Roman"/>
              </w:rPr>
              <w:t>$300,000 + 75,000 = $375,000</w:t>
            </w:r>
          </w:p>
          <w:p w:rsidR="00552BE6" w:rsidRPr="007405A4" w:rsidRDefault="00552BE6" w:rsidP="00C241E8">
            <w:pPr>
              <w:rPr>
                <w:rFonts w:ascii="Times New Roman" w:hAnsi="Times New Roman"/>
              </w:rPr>
            </w:pPr>
            <w:r>
              <w:rPr>
                <w:rFonts w:ascii="Times New Roman" w:hAnsi="Times New Roman"/>
              </w:rPr>
              <w:lastRenderedPageBreak/>
              <w:t xml:space="preserve">$375,000 ÷ 94% = $398,936.17 or </w:t>
            </w:r>
            <w:r w:rsidRPr="007405A4">
              <w:rPr>
                <w:rFonts w:ascii="Times New Roman" w:hAnsi="Times New Roman"/>
              </w:rPr>
              <w:t>$398,936</w:t>
            </w:r>
          </w:p>
        </w:tc>
        <w:tc>
          <w:tcPr>
            <w:tcW w:w="3280"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r>
              <w:rPr>
                <w:rFonts w:ascii="Times New Roman" w:hAnsi="Times New Roman"/>
              </w:rPr>
              <w:lastRenderedPageBreak/>
              <w:t xml:space="preserve">(B) </w:t>
            </w:r>
            <w:r w:rsidRPr="007405A4">
              <w:rPr>
                <w:rFonts w:ascii="Times New Roman" w:hAnsi="Times New Roman"/>
              </w:rPr>
              <w:t xml:space="preserve">A variance </w:t>
            </w:r>
            <w:proofErr w:type="gramStart"/>
            <w:r w:rsidRPr="007405A4">
              <w:rPr>
                <w:rFonts w:ascii="Times New Roman" w:hAnsi="Times New Roman"/>
              </w:rPr>
              <w:t>may be granted</w:t>
            </w:r>
            <w:proofErr w:type="gramEnd"/>
            <w:r w:rsidRPr="007405A4">
              <w:rPr>
                <w:rFonts w:ascii="Times New Roman" w:hAnsi="Times New Roman"/>
              </w:rPr>
              <w:t xml:space="preserve"> to relieve the harshness of a zoning ordinance.</w:t>
            </w:r>
          </w:p>
        </w:tc>
      </w:tr>
    </w:tbl>
    <w:p w:rsidR="00552BE6" w:rsidRDefault="00F239F1" w:rsidP="00552BE6">
      <w:pPr>
        <w:tabs>
          <w:tab w:val="left" w:pos="1800"/>
        </w:tabs>
        <w:autoSpaceDE w:val="0"/>
        <w:autoSpaceDN w:val="0"/>
        <w:adjustRightInd w:val="0"/>
        <w:rPr>
          <w:rFonts w:ascii="Times New Roman" w:hAnsi="Times New Roman"/>
        </w:rPr>
      </w:pPr>
      <w:r>
        <w:rPr>
          <w:rFonts w:ascii="Times New Roman" w:hAnsi="Times New Roman"/>
        </w:rPr>
        <w:t>Second</w:t>
      </w:r>
      <w:r w:rsidR="00552BE6">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552BE6" w:rsidRPr="00B261C9" w:rsidTr="00C241E8">
        <w:trPr>
          <w:trHeight w:val="144"/>
          <w:jc w:val="center"/>
        </w:trPr>
        <w:tc>
          <w:tcPr>
            <w:tcW w:w="3357"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80" w:type="dxa"/>
            <w:shd w:val="clear" w:color="auto" w:fill="CCFFCC"/>
          </w:tcPr>
          <w:p w:rsidR="00552BE6" w:rsidRPr="00B261C9" w:rsidRDefault="00552BE6" w:rsidP="00C241E8">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552BE6" w:rsidRPr="009623E5" w:rsidTr="00C241E8">
        <w:trPr>
          <w:trHeight w:val="150"/>
          <w:jc w:val="center"/>
        </w:trPr>
        <w:tc>
          <w:tcPr>
            <w:tcW w:w="3357" w:type="dxa"/>
          </w:tcPr>
          <w:p w:rsidR="00552BE6" w:rsidRPr="009623E5" w:rsidRDefault="00F239F1" w:rsidP="00C241E8">
            <w:pPr>
              <w:rPr>
                <w:rFonts w:ascii="Times New Roman" w:hAnsi="Times New Roman"/>
              </w:rPr>
            </w:pPr>
            <w:r>
              <w:rPr>
                <w:rFonts w:ascii="Times New Roman" w:hAnsi="Times New Roman"/>
              </w:rPr>
              <w:t>182</w:t>
            </w:r>
          </w:p>
        </w:tc>
        <w:tc>
          <w:tcPr>
            <w:tcW w:w="3203" w:type="dxa"/>
          </w:tcPr>
          <w:p w:rsidR="00552BE6" w:rsidRPr="009623E5" w:rsidRDefault="00F239F1" w:rsidP="00C241E8">
            <w:pPr>
              <w:rPr>
                <w:rFonts w:ascii="Times New Roman" w:hAnsi="Times New Roman"/>
              </w:rPr>
            </w:pPr>
            <w:r w:rsidRPr="00F239F1">
              <w:rPr>
                <w:rFonts w:ascii="Times New Roman" w:hAnsi="Times New Roman"/>
              </w:rPr>
              <w:drawing>
                <wp:inline distT="0" distB="0" distL="0" distR="0" wp14:anchorId="056C3728" wp14:editId="648B91C7">
                  <wp:extent cx="1295581" cy="4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581" cy="400106"/>
                          </a:xfrm>
                          <a:prstGeom prst="rect">
                            <a:avLst/>
                          </a:prstGeom>
                        </pic:spPr>
                      </pic:pic>
                    </a:graphicData>
                  </a:graphic>
                </wp:inline>
              </w:drawing>
            </w:r>
          </w:p>
        </w:tc>
        <w:tc>
          <w:tcPr>
            <w:tcW w:w="3280" w:type="dxa"/>
          </w:tcPr>
          <w:p w:rsidR="00552BE6" w:rsidRPr="009623E5" w:rsidRDefault="00F239F1" w:rsidP="00C241E8">
            <w:pPr>
              <w:rPr>
                <w:rFonts w:ascii="Times New Roman" w:hAnsi="Times New Roman"/>
              </w:rPr>
            </w:pPr>
            <w:r>
              <w:rPr>
                <w:rFonts w:ascii="Times New Roman" w:hAnsi="Times New Roman"/>
              </w:rPr>
              <w:t>(Change AFCF to ATCF)</w:t>
            </w:r>
          </w:p>
        </w:tc>
      </w:tr>
      <w:tr w:rsidR="00F239F1" w:rsidRPr="002F1EBB" w:rsidTr="00C241E8">
        <w:trPr>
          <w:trHeight w:val="150"/>
          <w:jc w:val="center"/>
        </w:trPr>
        <w:tc>
          <w:tcPr>
            <w:tcW w:w="3357" w:type="dxa"/>
          </w:tcPr>
          <w:p w:rsidR="00F239F1" w:rsidRDefault="00F239F1" w:rsidP="00C241E8">
            <w:pPr>
              <w:rPr>
                <w:rFonts w:ascii="Times New Roman" w:hAnsi="Times New Roman"/>
              </w:rPr>
            </w:pPr>
            <w:r>
              <w:rPr>
                <w:rFonts w:ascii="Times New Roman" w:hAnsi="Times New Roman"/>
              </w:rPr>
              <w:t>216, 33.</w:t>
            </w:r>
          </w:p>
        </w:tc>
        <w:tc>
          <w:tcPr>
            <w:tcW w:w="3203" w:type="dxa"/>
          </w:tcPr>
          <w:p w:rsidR="00F239F1" w:rsidRPr="007405A4" w:rsidRDefault="00F239F1" w:rsidP="00C241E8">
            <w:pPr>
              <w:rPr>
                <w:rFonts w:ascii="Times New Roman" w:hAnsi="Times New Roman"/>
              </w:rPr>
            </w:pPr>
            <w:r>
              <w:rPr>
                <w:rFonts w:ascii="Times New Roman" w:hAnsi="Times New Roman"/>
              </w:rPr>
              <w:t>A buyer negotiated a $75,000 loan at 8% interest for 30 years, with the first payment due in arrears on April 1. If the closing takes place on February 26, how much interest must the buyer pay on the day of closing (using a 360-day year)?</w:t>
            </w:r>
          </w:p>
        </w:tc>
        <w:tc>
          <w:tcPr>
            <w:tcW w:w="3280" w:type="dxa"/>
          </w:tcPr>
          <w:p w:rsidR="00F239F1" w:rsidRPr="002F1EBB" w:rsidRDefault="00F239F1" w:rsidP="00C241E8">
            <w:pPr>
              <w:rPr>
                <w:rFonts w:ascii="Times New Roman" w:hAnsi="Times New Roman"/>
              </w:rPr>
            </w:pPr>
            <w:r w:rsidRPr="002F1EBB">
              <w:rPr>
                <w:rFonts w:ascii="Times New Roman" w:hAnsi="Times New Roman"/>
                <w:color w:val="000000"/>
              </w:rPr>
              <w:t xml:space="preserve">A buyer negotiated a $75,000 loan at an interest rate of 8%. The monthly interest </w:t>
            </w:r>
            <w:proofErr w:type="gramStart"/>
            <w:r w:rsidRPr="002F1EBB">
              <w:rPr>
                <w:rFonts w:ascii="Times New Roman" w:hAnsi="Times New Roman"/>
                <w:color w:val="000000"/>
              </w:rPr>
              <w:t>is paid</w:t>
            </w:r>
            <w:proofErr w:type="gramEnd"/>
            <w:r w:rsidRPr="002F1EBB">
              <w:rPr>
                <w:rFonts w:ascii="Times New Roman" w:hAnsi="Times New Roman"/>
                <w:color w:val="000000"/>
              </w:rPr>
              <w:t xml:space="preserve"> in arrears with the first monthly payment due on August 1. If the loan funds </w:t>
            </w:r>
            <w:proofErr w:type="gramStart"/>
            <w:r w:rsidRPr="002F1EBB">
              <w:rPr>
                <w:rFonts w:ascii="Times New Roman" w:hAnsi="Times New Roman"/>
                <w:color w:val="000000"/>
              </w:rPr>
              <w:t>are disbursed</w:t>
            </w:r>
            <w:proofErr w:type="gramEnd"/>
            <w:r w:rsidRPr="002F1EBB">
              <w:rPr>
                <w:rFonts w:ascii="Times New Roman" w:hAnsi="Times New Roman"/>
                <w:color w:val="000000"/>
              </w:rPr>
              <w:t xml:space="preserve"> at closing on June 27, how much interest is due to the lender at closing?</w:t>
            </w:r>
          </w:p>
        </w:tc>
      </w:tr>
      <w:tr w:rsidR="00F239F1" w:rsidTr="00C241E8">
        <w:trPr>
          <w:trHeight w:val="150"/>
          <w:jc w:val="center"/>
        </w:trPr>
        <w:tc>
          <w:tcPr>
            <w:tcW w:w="3357" w:type="dxa"/>
          </w:tcPr>
          <w:p w:rsidR="00F239F1" w:rsidRDefault="00F239F1" w:rsidP="00C241E8">
            <w:pPr>
              <w:rPr>
                <w:rFonts w:ascii="Times New Roman" w:hAnsi="Times New Roman"/>
              </w:rPr>
            </w:pPr>
            <w:r>
              <w:rPr>
                <w:rFonts w:ascii="Times New Roman" w:hAnsi="Times New Roman"/>
              </w:rPr>
              <w:t>238, 33.</w:t>
            </w:r>
          </w:p>
        </w:tc>
        <w:tc>
          <w:tcPr>
            <w:tcW w:w="3203" w:type="dxa"/>
          </w:tcPr>
          <w:p w:rsidR="00F239F1" w:rsidRDefault="00F239F1" w:rsidP="00C241E8">
            <w:pPr>
              <w:rPr>
                <w:rFonts w:ascii="Times New Roman" w:hAnsi="Times New Roman"/>
              </w:rPr>
            </w:pPr>
            <w:r>
              <w:rPr>
                <w:rFonts w:ascii="Times New Roman" w:hAnsi="Times New Roman"/>
              </w:rPr>
              <w:t xml:space="preserve">(D) </w:t>
            </w:r>
          </w:p>
          <w:p w:rsidR="00F239F1" w:rsidRDefault="00F239F1" w:rsidP="00C241E8">
            <w:pPr>
              <w:rPr>
                <w:rFonts w:ascii="Times New Roman" w:hAnsi="Times New Roman"/>
              </w:rPr>
            </w:pPr>
            <w:r>
              <w:rPr>
                <w:rFonts w:ascii="Times New Roman" w:hAnsi="Times New Roman"/>
              </w:rPr>
              <w:t>February 26</w:t>
            </w:r>
          </w:p>
          <w:p w:rsidR="00F239F1" w:rsidRDefault="00F239F1" w:rsidP="00C241E8">
            <w:pPr>
              <w:rPr>
                <w:rFonts w:ascii="Times New Roman" w:hAnsi="Times New Roman"/>
              </w:rPr>
            </w:pPr>
            <w:r>
              <w:rPr>
                <w:rFonts w:ascii="Times New Roman" w:hAnsi="Times New Roman"/>
              </w:rPr>
              <w:t>February 30</w:t>
            </w:r>
          </w:p>
          <w:p w:rsidR="00F239F1" w:rsidRDefault="00F239F1" w:rsidP="00C241E8">
            <w:pPr>
              <w:rPr>
                <w:rFonts w:ascii="Times New Roman" w:hAnsi="Times New Roman"/>
              </w:rPr>
            </w:pPr>
          </w:p>
          <w:p w:rsidR="00F239F1" w:rsidRDefault="00F239F1" w:rsidP="00C241E8">
            <w:pPr>
              <w:rPr>
                <w:rFonts w:ascii="Times New Roman" w:hAnsi="Times New Roman"/>
              </w:rPr>
            </w:pPr>
            <w:r>
              <w:rPr>
                <w:rFonts w:ascii="Times New Roman" w:hAnsi="Times New Roman"/>
              </w:rPr>
              <w:t>February 30 – 26 = 4 days</w:t>
            </w:r>
          </w:p>
          <w:p w:rsidR="00F239F1" w:rsidRPr="007405A4" w:rsidRDefault="00F239F1" w:rsidP="00C241E8">
            <w:pPr>
              <w:rPr>
                <w:rFonts w:ascii="Times New Roman" w:hAnsi="Times New Roman"/>
              </w:rPr>
            </w:pPr>
          </w:p>
        </w:tc>
        <w:tc>
          <w:tcPr>
            <w:tcW w:w="3280" w:type="dxa"/>
          </w:tcPr>
          <w:p w:rsidR="00F239F1" w:rsidRDefault="00F239F1" w:rsidP="00C241E8">
            <w:pPr>
              <w:rPr>
                <w:rFonts w:ascii="Times New Roman" w:hAnsi="Times New Roman"/>
              </w:rPr>
            </w:pPr>
            <w:r>
              <w:rPr>
                <w:rFonts w:ascii="Times New Roman" w:hAnsi="Times New Roman"/>
              </w:rPr>
              <w:t>(D)</w:t>
            </w:r>
          </w:p>
          <w:p w:rsidR="00F239F1" w:rsidRDefault="00F239F1" w:rsidP="00C241E8">
            <w:pPr>
              <w:rPr>
                <w:rFonts w:ascii="Times New Roman" w:hAnsi="Times New Roman"/>
              </w:rPr>
            </w:pPr>
            <w:r>
              <w:rPr>
                <w:rFonts w:ascii="Times New Roman" w:hAnsi="Times New Roman"/>
              </w:rPr>
              <w:t>June 27, 28, 29, 30 = 4 days</w:t>
            </w:r>
          </w:p>
        </w:tc>
      </w:tr>
      <w:tr w:rsidR="00F239F1" w:rsidTr="00C241E8">
        <w:trPr>
          <w:trHeight w:val="150"/>
          <w:jc w:val="center"/>
        </w:trPr>
        <w:tc>
          <w:tcPr>
            <w:tcW w:w="3357" w:type="dxa"/>
          </w:tcPr>
          <w:p w:rsidR="00F239F1" w:rsidRDefault="00F239F1" w:rsidP="00C241E8">
            <w:pPr>
              <w:rPr>
                <w:rFonts w:ascii="Times New Roman" w:hAnsi="Times New Roman"/>
              </w:rPr>
            </w:pPr>
            <w:r>
              <w:rPr>
                <w:rFonts w:ascii="Times New Roman" w:hAnsi="Times New Roman"/>
              </w:rPr>
              <w:t>273, 81.</w:t>
            </w:r>
          </w:p>
        </w:tc>
        <w:tc>
          <w:tcPr>
            <w:tcW w:w="3203" w:type="dxa"/>
          </w:tcPr>
          <w:p w:rsidR="00F239F1" w:rsidRDefault="00F239F1" w:rsidP="00C241E8">
            <w:pPr>
              <w:rPr>
                <w:rFonts w:ascii="Times New Roman" w:hAnsi="Times New Roman"/>
              </w:rPr>
            </w:pPr>
            <w:r>
              <w:rPr>
                <w:rFonts w:ascii="Times New Roman" w:hAnsi="Times New Roman"/>
              </w:rPr>
              <w:t>A. take no action because it is only on one side of the clubhouse.</w:t>
            </w:r>
          </w:p>
          <w:p w:rsidR="00F239F1" w:rsidRDefault="00F239F1" w:rsidP="00C241E8">
            <w:pPr>
              <w:rPr>
                <w:rFonts w:ascii="Times New Roman" w:hAnsi="Times New Roman"/>
              </w:rPr>
            </w:pPr>
            <w:r>
              <w:rPr>
                <w:rFonts w:ascii="Times New Roman" w:hAnsi="Times New Roman"/>
              </w:rPr>
              <w:t>B. file for a variance with the local zoning board.</w:t>
            </w:r>
          </w:p>
          <w:p w:rsidR="00F239F1" w:rsidRDefault="00F239F1" w:rsidP="00C241E8">
            <w:pPr>
              <w:rPr>
                <w:rFonts w:ascii="Times New Roman" w:hAnsi="Times New Roman"/>
              </w:rPr>
            </w:pPr>
            <w:r>
              <w:rPr>
                <w:rFonts w:ascii="Times New Roman" w:hAnsi="Times New Roman"/>
              </w:rPr>
              <w:t>C. file for a nonconforming use with the local zoning board.</w:t>
            </w:r>
          </w:p>
          <w:p w:rsidR="00F239F1" w:rsidRDefault="00F239F1" w:rsidP="00C241E8">
            <w:pPr>
              <w:rPr>
                <w:rFonts w:ascii="Times New Roman" w:hAnsi="Times New Roman"/>
              </w:rPr>
            </w:pPr>
            <w:r>
              <w:rPr>
                <w:rFonts w:ascii="Times New Roman" w:hAnsi="Times New Roman"/>
              </w:rPr>
              <w:t>D. continue with the construction and later file for an adverse possession claim to the property.</w:t>
            </w:r>
          </w:p>
          <w:p w:rsidR="00F239F1" w:rsidRPr="007405A4" w:rsidRDefault="00F239F1" w:rsidP="00C241E8">
            <w:pPr>
              <w:rPr>
                <w:rFonts w:ascii="Times New Roman" w:hAnsi="Times New Roman"/>
              </w:rPr>
            </w:pPr>
            <w:r>
              <w:rPr>
                <w:rFonts w:ascii="Times New Roman" w:hAnsi="Times New Roman"/>
              </w:rPr>
              <w:t xml:space="preserve">E. A variance </w:t>
            </w:r>
            <w:proofErr w:type="gramStart"/>
            <w:r>
              <w:rPr>
                <w:rFonts w:ascii="Times New Roman" w:hAnsi="Times New Roman"/>
              </w:rPr>
              <w:t>may be granted</w:t>
            </w:r>
            <w:proofErr w:type="gramEnd"/>
            <w:r>
              <w:rPr>
                <w:rFonts w:ascii="Times New Roman" w:hAnsi="Times New Roman"/>
              </w:rPr>
              <w:t xml:space="preserve"> to relieve the harshness of a zoning ordinance.</w:t>
            </w:r>
          </w:p>
        </w:tc>
        <w:tc>
          <w:tcPr>
            <w:tcW w:w="3280" w:type="dxa"/>
          </w:tcPr>
          <w:p w:rsidR="00F239F1" w:rsidRDefault="00F239F1" w:rsidP="00C241E8">
            <w:pPr>
              <w:rPr>
                <w:rFonts w:ascii="Times New Roman" w:hAnsi="Times New Roman"/>
              </w:rPr>
            </w:pPr>
            <w:r>
              <w:rPr>
                <w:rFonts w:ascii="Times New Roman" w:hAnsi="Times New Roman"/>
              </w:rPr>
              <w:t>A. take no action because it is only on one side of the clubhouse.</w:t>
            </w:r>
          </w:p>
          <w:p w:rsidR="00F239F1" w:rsidRDefault="00F239F1" w:rsidP="00C241E8">
            <w:pPr>
              <w:rPr>
                <w:rFonts w:ascii="Times New Roman" w:hAnsi="Times New Roman"/>
              </w:rPr>
            </w:pPr>
            <w:r>
              <w:rPr>
                <w:rFonts w:ascii="Times New Roman" w:hAnsi="Times New Roman"/>
              </w:rPr>
              <w:t>B. file for a variance with the local zoning board.</w:t>
            </w:r>
          </w:p>
          <w:p w:rsidR="00F239F1" w:rsidRDefault="00F239F1" w:rsidP="00C241E8">
            <w:pPr>
              <w:rPr>
                <w:rFonts w:ascii="Times New Roman" w:hAnsi="Times New Roman"/>
              </w:rPr>
            </w:pPr>
            <w:r>
              <w:rPr>
                <w:rFonts w:ascii="Times New Roman" w:hAnsi="Times New Roman"/>
              </w:rPr>
              <w:t>C. file for a nonconforming use with the local zoning board.</w:t>
            </w:r>
          </w:p>
          <w:p w:rsidR="00F239F1" w:rsidRDefault="00F239F1" w:rsidP="00C241E8">
            <w:pPr>
              <w:rPr>
                <w:rFonts w:ascii="Times New Roman" w:hAnsi="Times New Roman"/>
              </w:rPr>
            </w:pPr>
            <w:r>
              <w:rPr>
                <w:rFonts w:ascii="Times New Roman" w:hAnsi="Times New Roman"/>
              </w:rPr>
              <w:t>D. continue with the construction and later file for an adverse possession claim to the property.</w:t>
            </w:r>
          </w:p>
          <w:p w:rsidR="00F239F1" w:rsidRDefault="00F239F1" w:rsidP="00C241E8">
            <w:pPr>
              <w:rPr>
                <w:rFonts w:ascii="Times New Roman" w:hAnsi="Times New Roman"/>
              </w:rPr>
            </w:pPr>
          </w:p>
        </w:tc>
      </w:tr>
      <w:tr w:rsidR="00F239F1" w:rsidTr="00C241E8">
        <w:trPr>
          <w:trHeight w:val="150"/>
          <w:jc w:val="center"/>
        </w:trPr>
        <w:tc>
          <w:tcPr>
            <w:tcW w:w="3357" w:type="dxa"/>
          </w:tcPr>
          <w:p w:rsidR="00F239F1" w:rsidRDefault="00F239F1" w:rsidP="00C241E8">
            <w:pPr>
              <w:rPr>
                <w:rFonts w:ascii="Times New Roman" w:hAnsi="Times New Roman"/>
              </w:rPr>
            </w:pPr>
            <w:r>
              <w:rPr>
                <w:rFonts w:ascii="Times New Roman" w:hAnsi="Times New Roman"/>
              </w:rPr>
              <w:t>279, 70.</w:t>
            </w:r>
          </w:p>
        </w:tc>
        <w:tc>
          <w:tcPr>
            <w:tcW w:w="3203" w:type="dxa"/>
          </w:tcPr>
          <w:p w:rsidR="00F239F1" w:rsidRPr="007405A4" w:rsidRDefault="00F239F1" w:rsidP="00C241E8">
            <w:pPr>
              <w:rPr>
                <w:rFonts w:ascii="Times New Roman" w:hAnsi="Times New Roman"/>
              </w:rPr>
            </w:pPr>
            <w:r>
              <w:rPr>
                <w:rFonts w:ascii="Times New Roman" w:hAnsi="Times New Roman"/>
              </w:rPr>
              <w:t xml:space="preserve">(C) Unless there are unusual circumstances, the date on which the lien </w:t>
            </w:r>
            <w:proofErr w:type="gramStart"/>
            <w:r>
              <w:rPr>
                <w:rFonts w:ascii="Times New Roman" w:hAnsi="Times New Roman"/>
              </w:rPr>
              <w:t>was recorded</w:t>
            </w:r>
            <w:proofErr w:type="gramEnd"/>
            <w:r>
              <w:rPr>
                <w:rFonts w:ascii="Times New Roman" w:hAnsi="Times New Roman"/>
              </w:rPr>
              <w:t xml:space="preserve"> determines priority.</w:t>
            </w:r>
          </w:p>
        </w:tc>
        <w:tc>
          <w:tcPr>
            <w:tcW w:w="3280" w:type="dxa"/>
          </w:tcPr>
          <w:p w:rsidR="00F239F1" w:rsidRDefault="00F239F1" w:rsidP="00C241E8">
            <w:pPr>
              <w:rPr>
                <w:rFonts w:ascii="Times New Roman" w:hAnsi="Times New Roman"/>
              </w:rPr>
            </w:pPr>
            <w:r>
              <w:rPr>
                <w:rFonts w:ascii="Times New Roman" w:hAnsi="Times New Roman"/>
              </w:rPr>
              <w:t xml:space="preserve">(B) Unless there are unusual circumstances, the date on which the lien </w:t>
            </w:r>
            <w:proofErr w:type="gramStart"/>
            <w:r>
              <w:rPr>
                <w:rFonts w:ascii="Times New Roman" w:hAnsi="Times New Roman"/>
              </w:rPr>
              <w:t>was recorded</w:t>
            </w:r>
            <w:proofErr w:type="gramEnd"/>
            <w:r>
              <w:rPr>
                <w:rFonts w:ascii="Times New Roman" w:hAnsi="Times New Roman"/>
              </w:rPr>
              <w:t xml:space="preserve"> determines priority.</w:t>
            </w:r>
          </w:p>
        </w:tc>
      </w:tr>
      <w:tr w:rsidR="00552BE6" w:rsidRPr="007405A4" w:rsidTr="00C241E8">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552BE6" w:rsidRDefault="00552BE6" w:rsidP="00C241E8">
            <w:pPr>
              <w:rPr>
                <w:rFonts w:ascii="Times New Roman" w:hAnsi="Times New Roman"/>
              </w:rPr>
            </w:pPr>
            <w:bookmarkStart w:id="0" w:name="_GoBack"/>
            <w:bookmarkEnd w:id="0"/>
          </w:p>
        </w:tc>
        <w:tc>
          <w:tcPr>
            <w:tcW w:w="3203"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p>
        </w:tc>
        <w:tc>
          <w:tcPr>
            <w:tcW w:w="3280" w:type="dxa"/>
            <w:tcBorders>
              <w:top w:val="single" w:sz="4" w:space="0" w:color="auto"/>
              <w:left w:val="single" w:sz="4" w:space="0" w:color="auto"/>
              <w:bottom w:val="single" w:sz="4" w:space="0" w:color="auto"/>
              <w:right w:val="single" w:sz="4" w:space="0" w:color="auto"/>
            </w:tcBorders>
          </w:tcPr>
          <w:p w:rsidR="00552BE6" w:rsidRPr="007405A4" w:rsidRDefault="00552BE6" w:rsidP="00C241E8">
            <w:pPr>
              <w:rPr>
                <w:rFonts w:ascii="Times New Roman" w:hAnsi="Times New Roman"/>
              </w:rPr>
            </w:pPr>
          </w:p>
        </w:tc>
      </w:tr>
    </w:tbl>
    <w:p w:rsidR="007405A4" w:rsidRPr="007C0232" w:rsidRDefault="007405A4" w:rsidP="00513256">
      <w:pPr>
        <w:tabs>
          <w:tab w:val="left" w:pos="1800"/>
        </w:tabs>
        <w:autoSpaceDE w:val="0"/>
        <w:autoSpaceDN w:val="0"/>
        <w:adjustRightInd w:val="0"/>
        <w:rPr>
          <w:rFonts w:ascii="Times New Roman" w:hAnsi="Times New Roman"/>
        </w:rPr>
      </w:pPr>
    </w:p>
    <w:sectPr w:rsidR="007405A4"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EE" w:rsidRDefault="00493FEE">
      <w:r>
        <w:separator/>
      </w:r>
    </w:p>
  </w:endnote>
  <w:endnote w:type="continuationSeparator" w:id="0">
    <w:p w:rsidR="00493FEE" w:rsidRDefault="0049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B94A3C"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2F1EBB">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EE" w:rsidRDefault="00493FEE">
      <w:r>
        <w:separator/>
      </w:r>
    </w:p>
  </w:footnote>
  <w:footnote w:type="continuationSeparator" w:id="0">
    <w:p w:rsidR="00493FEE" w:rsidRDefault="0049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C531E4" w:rsidRDefault="00C531E4" w:rsidP="00C531E4">
    <w:pPr>
      <w:pStyle w:val="Header"/>
      <w:ind w:left="720"/>
      <w:jc w:val="right"/>
      <w:rPr>
        <w:szCs w:val="20"/>
      </w:rPr>
    </w:pPr>
    <w:r w:rsidRPr="00C531E4">
      <w:rPr>
        <w:rFonts w:ascii="Arial" w:hAnsi="Arial" w:cs="Arial"/>
        <w:i/>
        <w:sz w:val="20"/>
        <w:szCs w:val="20"/>
      </w:rPr>
      <w:t>G</w:t>
    </w:r>
    <w:r w:rsidR="008831F7">
      <w:rPr>
        <w:rFonts w:ascii="Arial" w:hAnsi="Arial" w:cs="Arial"/>
        <w:i/>
        <w:sz w:val="20"/>
        <w:szCs w:val="20"/>
      </w:rPr>
      <w:t>uide to Passing the AMP Real Estate Exam, Sixth</w:t>
    </w:r>
    <w:r w:rsidRPr="00C531E4">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17B37"/>
    <w:rsid w:val="000632A6"/>
    <w:rsid w:val="00097E04"/>
    <w:rsid w:val="000B3BE6"/>
    <w:rsid w:val="000D144B"/>
    <w:rsid w:val="000E3AA8"/>
    <w:rsid w:val="000E3E19"/>
    <w:rsid w:val="001159C0"/>
    <w:rsid w:val="0011623E"/>
    <w:rsid w:val="0015583D"/>
    <w:rsid w:val="00173F59"/>
    <w:rsid w:val="001A2CE5"/>
    <w:rsid w:val="001B1E7E"/>
    <w:rsid w:val="001D5126"/>
    <w:rsid w:val="00222811"/>
    <w:rsid w:val="00296462"/>
    <w:rsid w:val="002B00B8"/>
    <w:rsid w:val="002F1EBB"/>
    <w:rsid w:val="003508C0"/>
    <w:rsid w:val="00356BF0"/>
    <w:rsid w:val="003D4AB7"/>
    <w:rsid w:val="003F134C"/>
    <w:rsid w:val="00400649"/>
    <w:rsid w:val="00400CDF"/>
    <w:rsid w:val="00414AE1"/>
    <w:rsid w:val="00416C91"/>
    <w:rsid w:val="0042014E"/>
    <w:rsid w:val="0044429C"/>
    <w:rsid w:val="00466158"/>
    <w:rsid w:val="004856FD"/>
    <w:rsid w:val="00485AD7"/>
    <w:rsid w:val="00490CD8"/>
    <w:rsid w:val="00493FEE"/>
    <w:rsid w:val="004A05EC"/>
    <w:rsid w:val="004D0DF9"/>
    <w:rsid w:val="00513256"/>
    <w:rsid w:val="00552BE6"/>
    <w:rsid w:val="00563CAC"/>
    <w:rsid w:val="005B5AB5"/>
    <w:rsid w:val="006217A0"/>
    <w:rsid w:val="0068025B"/>
    <w:rsid w:val="00705BF4"/>
    <w:rsid w:val="007214B0"/>
    <w:rsid w:val="007405A4"/>
    <w:rsid w:val="007C0232"/>
    <w:rsid w:val="0081262B"/>
    <w:rsid w:val="008349C3"/>
    <w:rsid w:val="00841520"/>
    <w:rsid w:val="008831F7"/>
    <w:rsid w:val="008F1087"/>
    <w:rsid w:val="00927FB5"/>
    <w:rsid w:val="0094174A"/>
    <w:rsid w:val="009623E5"/>
    <w:rsid w:val="0099347E"/>
    <w:rsid w:val="009C36F8"/>
    <w:rsid w:val="00A12403"/>
    <w:rsid w:val="00A333BA"/>
    <w:rsid w:val="00A54C6C"/>
    <w:rsid w:val="00A9071A"/>
    <w:rsid w:val="00A91F06"/>
    <w:rsid w:val="00AB5671"/>
    <w:rsid w:val="00AD6786"/>
    <w:rsid w:val="00AF33C8"/>
    <w:rsid w:val="00B261C9"/>
    <w:rsid w:val="00B4617B"/>
    <w:rsid w:val="00B94A3C"/>
    <w:rsid w:val="00BA4BAB"/>
    <w:rsid w:val="00BE2290"/>
    <w:rsid w:val="00C251A6"/>
    <w:rsid w:val="00C531E4"/>
    <w:rsid w:val="00C91E39"/>
    <w:rsid w:val="00D15438"/>
    <w:rsid w:val="00D202E9"/>
    <w:rsid w:val="00D70BAC"/>
    <w:rsid w:val="00D815DC"/>
    <w:rsid w:val="00D84A81"/>
    <w:rsid w:val="00DE2E72"/>
    <w:rsid w:val="00E04CE3"/>
    <w:rsid w:val="00E76CEE"/>
    <w:rsid w:val="00E86E80"/>
    <w:rsid w:val="00E9614D"/>
    <w:rsid w:val="00E97F0F"/>
    <w:rsid w:val="00EA333E"/>
    <w:rsid w:val="00EB32F9"/>
    <w:rsid w:val="00EF5DF7"/>
    <w:rsid w:val="00F000E2"/>
    <w:rsid w:val="00F239F1"/>
    <w:rsid w:val="00F46A5A"/>
    <w:rsid w:val="00F7081F"/>
    <w:rsid w:val="00FF244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EDA21"/>
  <w15:docId w15:val="{DC08BE9E-DB01-425F-B2ED-ECFFA98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106">
    <w:name w:val="Pa106"/>
    <w:basedOn w:val="Default"/>
    <w:next w:val="Default"/>
    <w:uiPriority w:val="99"/>
    <w:rsid w:val="008F1087"/>
    <w:pPr>
      <w:widowControl/>
      <w:spacing w:line="221" w:lineRule="atLeast"/>
    </w:pPr>
    <w:rPr>
      <w:rFonts w:ascii="Times LT Std" w:hAnsi="Times LT Std"/>
      <w:color w:val="auto"/>
    </w:rPr>
  </w:style>
  <w:style w:type="paragraph" w:styleId="ListParagraph">
    <w:name w:val="List Paragraph"/>
    <w:basedOn w:val="Normal"/>
    <w:uiPriority w:val="34"/>
    <w:qFormat/>
    <w:rsid w:val="002F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864">
      <w:bodyDiv w:val="1"/>
      <w:marLeft w:val="0"/>
      <w:marRight w:val="0"/>
      <w:marTop w:val="0"/>
      <w:marBottom w:val="0"/>
      <w:divBdr>
        <w:top w:val="none" w:sz="0" w:space="0" w:color="auto"/>
        <w:left w:val="none" w:sz="0" w:space="0" w:color="auto"/>
        <w:bottom w:val="none" w:sz="0" w:space="0" w:color="auto"/>
        <w:right w:val="none" w:sz="0" w:space="0" w:color="auto"/>
      </w:divBdr>
      <w:divsChild>
        <w:div w:id="1726222294">
          <w:blockQuote w:val="1"/>
          <w:marLeft w:val="600"/>
          <w:marRight w:val="0"/>
          <w:marTop w:val="0"/>
          <w:marBottom w:val="0"/>
          <w:divBdr>
            <w:top w:val="none" w:sz="0" w:space="0" w:color="auto"/>
            <w:left w:val="none" w:sz="0" w:space="0" w:color="auto"/>
            <w:bottom w:val="none" w:sz="0" w:space="0" w:color="auto"/>
            <w:right w:val="none" w:sz="0" w:space="0" w:color="auto"/>
          </w:divBdr>
        </w:div>
        <w:div w:id="471337484">
          <w:blockQuote w:val="1"/>
          <w:marLeft w:val="600"/>
          <w:marRight w:val="0"/>
          <w:marTop w:val="0"/>
          <w:marBottom w:val="0"/>
          <w:divBdr>
            <w:top w:val="none" w:sz="0" w:space="0" w:color="auto"/>
            <w:left w:val="none" w:sz="0" w:space="0" w:color="auto"/>
            <w:bottom w:val="none" w:sz="0" w:space="0" w:color="auto"/>
            <w:right w:val="none" w:sz="0" w:space="0" w:color="auto"/>
          </w:divBdr>
        </w:div>
        <w:div w:id="143935229">
          <w:blockQuote w:val="1"/>
          <w:marLeft w:val="600"/>
          <w:marRight w:val="0"/>
          <w:marTop w:val="0"/>
          <w:marBottom w:val="0"/>
          <w:divBdr>
            <w:top w:val="none" w:sz="0" w:space="0" w:color="auto"/>
            <w:left w:val="none" w:sz="0" w:space="0" w:color="auto"/>
            <w:bottom w:val="none" w:sz="0" w:space="0" w:color="auto"/>
            <w:right w:val="none" w:sz="0" w:space="0" w:color="auto"/>
          </w:divBdr>
        </w:div>
        <w:div w:id="1769307870">
          <w:blockQuote w:val="1"/>
          <w:marLeft w:val="600"/>
          <w:marRight w:val="0"/>
          <w:marTop w:val="0"/>
          <w:marBottom w:val="0"/>
          <w:divBdr>
            <w:top w:val="none" w:sz="0" w:space="0" w:color="auto"/>
            <w:left w:val="none" w:sz="0" w:space="0" w:color="auto"/>
            <w:bottom w:val="none" w:sz="0" w:space="0" w:color="auto"/>
            <w:right w:val="none" w:sz="0" w:space="0" w:color="auto"/>
          </w:divBdr>
        </w:div>
        <w:div w:id="1125346950">
          <w:blockQuote w:val="1"/>
          <w:marLeft w:val="600"/>
          <w:marRight w:val="0"/>
          <w:marTop w:val="0"/>
          <w:marBottom w:val="0"/>
          <w:divBdr>
            <w:top w:val="none" w:sz="0" w:space="0" w:color="auto"/>
            <w:left w:val="none" w:sz="0" w:space="0" w:color="auto"/>
            <w:bottom w:val="none" w:sz="0" w:space="0" w:color="auto"/>
            <w:right w:val="none" w:sz="0" w:space="0" w:color="auto"/>
          </w:divBdr>
        </w:div>
        <w:div w:id="9727586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640</Words>
  <Characters>2890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5</cp:revision>
  <cp:lastPrinted>2006-08-18T16:15:00Z</cp:lastPrinted>
  <dcterms:created xsi:type="dcterms:W3CDTF">2019-08-01T16:52:00Z</dcterms:created>
  <dcterms:modified xsi:type="dcterms:W3CDTF">2019-12-31T16:54:00Z</dcterms:modified>
</cp:coreProperties>
</file>