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7E" w:rsidRPr="0094174A" w:rsidRDefault="008C507E" w:rsidP="0094174A">
      <w:pPr>
        <w:jc w:val="center"/>
        <w:rPr>
          <w:rFonts w:ascii="Arial" w:hAnsi="Arial" w:cs="Arial"/>
          <w:b/>
          <w:sz w:val="32"/>
          <w:szCs w:val="32"/>
        </w:rPr>
      </w:pPr>
      <w:r w:rsidRPr="0094174A">
        <w:rPr>
          <w:rFonts w:ascii="Arial" w:hAnsi="Arial" w:cs="Arial"/>
          <w:b/>
          <w:sz w:val="32"/>
          <w:szCs w:val="32"/>
        </w:rPr>
        <w:t>Errata (201</w:t>
      </w:r>
      <w:r>
        <w:rPr>
          <w:rFonts w:ascii="Arial" w:hAnsi="Arial" w:cs="Arial"/>
          <w:b/>
          <w:sz w:val="32"/>
          <w:szCs w:val="32"/>
        </w:rPr>
        <w:t>2</w:t>
      </w:r>
      <w:r w:rsidRPr="0094174A">
        <w:rPr>
          <w:rFonts w:ascii="Arial" w:hAnsi="Arial" w:cs="Arial"/>
          <w:b/>
          <w:sz w:val="32"/>
          <w:szCs w:val="32"/>
        </w:rPr>
        <w:t>-</w:t>
      </w:r>
      <w:r>
        <w:rPr>
          <w:rFonts w:ascii="Arial" w:hAnsi="Arial" w:cs="Arial"/>
          <w:b/>
          <w:sz w:val="32"/>
          <w:szCs w:val="32"/>
        </w:rPr>
        <w:t>11</w:t>
      </w:r>
      <w:r w:rsidRPr="0094174A">
        <w:rPr>
          <w:rFonts w:ascii="Arial" w:hAnsi="Arial" w:cs="Arial"/>
          <w:b/>
          <w:sz w:val="32"/>
          <w:szCs w:val="32"/>
        </w:rPr>
        <w:t>-1</w:t>
      </w:r>
      <w:r>
        <w:rPr>
          <w:rFonts w:ascii="Arial" w:hAnsi="Arial" w:cs="Arial"/>
          <w:b/>
          <w:sz w:val="32"/>
          <w:szCs w:val="32"/>
        </w:rPr>
        <w:t>9</w:t>
      </w:r>
      <w:r w:rsidRPr="0094174A">
        <w:rPr>
          <w:rFonts w:ascii="Arial" w:hAnsi="Arial" w:cs="Arial"/>
          <w:b/>
          <w:sz w:val="32"/>
          <w:szCs w:val="32"/>
        </w:rPr>
        <w:t>)</w:t>
      </w:r>
    </w:p>
    <w:p w:rsidR="008C507E" w:rsidRDefault="008C507E" w:rsidP="00173F59">
      <w:pPr>
        <w:rPr>
          <w:rFonts w:ascii="Times New Roman" w:hAnsi="Times New Roman"/>
        </w:rPr>
      </w:pPr>
    </w:p>
    <w:p w:rsidR="008C507E" w:rsidRPr="007C0232" w:rsidRDefault="008C507E" w:rsidP="00173F59">
      <w:pPr>
        <w:rPr>
          <w:rFonts w:ascii="Times New Roman" w:hAnsi="Times New Roman"/>
        </w:rPr>
      </w:pPr>
    </w:p>
    <w:p w:rsidR="008C507E" w:rsidRPr="00AA3566" w:rsidRDefault="008C507E"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AA3566">
        <w:rPr>
          <w:rFonts w:ascii="Times New Roman" w:hAnsi="Times New Roman"/>
          <w:i/>
        </w:rPr>
        <w:t>Illinois Real Estate Exam Prep, Fourth Edition</w:t>
      </w:r>
      <w:r w:rsidRPr="007C0232">
        <w:rPr>
          <w:rFonts w:ascii="Times New Roman" w:hAnsi="Times New Roman"/>
        </w:rPr>
        <w:t xml:space="preserve">.  </w:t>
      </w:r>
    </w:p>
    <w:p w:rsidR="008C507E" w:rsidRDefault="008C507E" w:rsidP="00173F59">
      <w:pPr>
        <w:tabs>
          <w:tab w:val="left" w:pos="1800"/>
        </w:tabs>
        <w:autoSpaceDE w:val="0"/>
        <w:autoSpaceDN w:val="0"/>
        <w:adjustRightInd w:val="0"/>
        <w:rPr>
          <w:rFonts w:ascii="Times New Roman" w:hAnsi="Times New Roman"/>
          <w:b/>
        </w:rPr>
      </w:pPr>
    </w:p>
    <w:p w:rsidR="008C507E" w:rsidRPr="007C0232" w:rsidRDefault="008C507E"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8C507E" w:rsidRPr="00AA3566" w:rsidTr="0046426B">
        <w:trPr>
          <w:trHeight w:val="701"/>
          <w:jc w:val="center"/>
        </w:trPr>
        <w:tc>
          <w:tcPr>
            <w:tcW w:w="3445" w:type="dxa"/>
            <w:shd w:val="clear" w:color="auto" w:fill="CCFFCC"/>
          </w:tcPr>
          <w:p w:rsidR="008C507E" w:rsidRPr="00AA3566" w:rsidRDefault="008C507E" w:rsidP="00AA3566">
            <w:pPr>
              <w:tabs>
                <w:tab w:val="left" w:pos="1800"/>
              </w:tabs>
              <w:autoSpaceDE w:val="0"/>
              <w:autoSpaceDN w:val="0"/>
              <w:adjustRightInd w:val="0"/>
              <w:jc w:val="center"/>
              <w:rPr>
                <w:rFonts w:ascii="Times New Roman" w:hAnsi="Times New Roman"/>
                <w:b/>
              </w:rPr>
            </w:pPr>
            <w:r w:rsidRPr="00AA3566">
              <w:rPr>
                <w:rFonts w:ascii="Times New Roman" w:hAnsi="Times New Roman"/>
                <w:b/>
              </w:rPr>
              <w:t>Page/Location</w:t>
            </w:r>
          </w:p>
        </w:tc>
        <w:tc>
          <w:tcPr>
            <w:tcW w:w="3283" w:type="dxa"/>
            <w:shd w:val="clear" w:color="auto" w:fill="CCFFCC"/>
          </w:tcPr>
          <w:p w:rsidR="008C507E" w:rsidRPr="00AA3566" w:rsidRDefault="008C507E" w:rsidP="00AA3566">
            <w:pPr>
              <w:tabs>
                <w:tab w:val="left" w:pos="1800"/>
              </w:tabs>
              <w:autoSpaceDE w:val="0"/>
              <w:autoSpaceDN w:val="0"/>
              <w:adjustRightInd w:val="0"/>
              <w:jc w:val="center"/>
              <w:rPr>
                <w:rFonts w:ascii="Times New Roman" w:hAnsi="Times New Roman"/>
                <w:b/>
              </w:rPr>
            </w:pPr>
            <w:r w:rsidRPr="00AA3566">
              <w:rPr>
                <w:rFonts w:ascii="Times New Roman" w:hAnsi="Times New Roman"/>
                <w:b/>
              </w:rPr>
              <w:t>Was</w:t>
            </w:r>
          </w:p>
        </w:tc>
        <w:tc>
          <w:tcPr>
            <w:tcW w:w="3363" w:type="dxa"/>
            <w:shd w:val="clear" w:color="auto" w:fill="CCFFCC"/>
          </w:tcPr>
          <w:p w:rsidR="008C507E" w:rsidRPr="00AA3566" w:rsidRDefault="008C507E" w:rsidP="00AA3566">
            <w:pPr>
              <w:tabs>
                <w:tab w:val="left" w:pos="1800"/>
              </w:tabs>
              <w:autoSpaceDE w:val="0"/>
              <w:autoSpaceDN w:val="0"/>
              <w:adjustRightInd w:val="0"/>
              <w:jc w:val="center"/>
              <w:rPr>
                <w:rFonts w:ascii="Times New Roman" w:hAnsi="Times New Roman"/>
                <w:b/>
              </w:rPr>
            </w:pPr>
            <w:r w:rsidRPr="00AA3566">
              <w:rPr>
                <w:rFonts w:ascii="Times New Roman" w:hAnsi="Times New Roman"/>
                <w:b/>
              </w:rPr>
              <w:t>Change to</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iii</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Experts who are familiar with the Illinois licensing examination as well as real estate law and practice prepared this book. The material in this book is organized as follows: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Illinois Real Estate License Law: Licensing Requirements, Unlicensed Activities, Personal Assistants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Unauthorized Practice of Law</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Broker-Consumer Relationships Agency: Seller, Buyer, Dual, Designated, Disclosure of Agency</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Disclosures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Sponsoring Broker/Managing Broker Relationships, Brokerage Policies and Procedures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Special Accounts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Disciplinary Actions and Recovery Fund</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Illinois Human Rights Act</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Illinois Consumer Protection Laws</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Property Management</w:t>
            </w:r>
          </w:p>
          <w:p w:rsidR="008C507E" w:rsidRPr="00AA3566" w:rsidRDefault="008C507E" w:rsidP="00AA3566">
            <w:pPr>
              <w:numPr>
                <w:ilvl w:val="0"/>
                <w:numId w:val="1"/>
              </w:numPr>
              <w:tabs>
                <w:tab w:val="left" w:pos="1800"/>
              </w:tabs>
              <w:autoSpaceDE w:val="0"/>
              <w:autoSpaceDN w:val="0"/>
              <w:adjustRightInd w:val="0"/>
              <w:rPr>
                <w:rFonts w:ascii="Times New Roman" w:hAnsi="Times New Roman"/>
              </w:rPr>
            </w:pPr>
            <w:r w:rsidRPr="00AA3566">
              <w:rPr>
                <w:rFonts w:ascii="Times New Roman" w:hAnsi="Times New Roman"/>
              </w:rPr>
              <w:t>Miscellaneous Material Specific to Illinois: Real Property Law, Property Transfer, Property Ownership, Title Issues, Deed Requirements, Transfer Taxes, Lending Practices, Closings, Liens, Foreclosures, Tax Sales, Real Property Taxes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b/>
              </w:rPr>
            </w:pPr>
            <w:r w:rsidRPr="00AA3566">
              <w:rPr>
                <w:rFonts w:ascii="Times New Roman" w:hAnsi="Times New Roman"/>
                <w:b/>
              </w:rPr>
              <w:t>Table of Contents</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Illinois Real Estate License Law: Licensing Requirements, Unlicensed Activities, Personal Assistants</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Unauthorized Practice of Law</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Broker-Consumer Relationships</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Residential Real Property Disclosure Act</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Broker-Associate Relationship</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Special Accounts</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Disciplinary Actions and Recovery Fund</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Illinois Human Rights Act</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Illinois Consumer Protection Laws</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Property Management</w:t>
            </w:r>
          </w:p>
          <w:p w:rsidR="008C507E" w:rsidRPr="00AA3566" w:rsidRDefault="008C507E" w:rsidP="00AA3566">
            <w:pPr>
              <w:numPr>
                <w:ilvl w:val="0"/>
                <w:numId w:val="2"/>
              </w:numPr>
              <w:tabs>
                <w:tab w:val="left" w:pos="1800"/>
              </w:tabs>
              <w:autoSpaceDE w:val="0"/>
              <w:autoSpaceDN w:val="0"/>
              <w:adjustRightInd w:val="0"/>
              <w:rPr>
                <w:rFonts w:ascii="Times New Roman" w:hAnsi="Times New Roman"/>
              </w:rPr>
            </w:pPr>
            <w:r w:rsidRPr="00AA3566">
              <w:rPr>
                <w:rFonts w:ascii="Times New Roman" w:hAnsi="Times New Roman"/>
              </w:rPr>
              <w:t>Real Property Law Specific to Illinois</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2, question 9</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When do real estate salespersons’ licenses expire in Illinois?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When do real estate brokers’ licenses expire in Illinois?</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2, question 10</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To renew a license in Illinois, salespersons must</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To renew a license in Illinois, brokers must</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10, question 25</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Upon obtaining a listing, a broker or licensed salesperson is obligated by Illinois law to</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Upon obtaining a listing, a listing broker is obligated by Illinois law to</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14, question 1</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What procedures must a broker follow when terminating a salesperson?</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What procedures must a managing broker follow when terminating an agent?</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15, question 4</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 xml:space="preserve">Several weeks after closing, a salesperson received a thank-you letter and a bonus check from the seller of the house. The salesperson cashed the check because he felt it was earned. In this situation, which statement is </w:t>
            </w:r>
            <w:r w:rsidRPr="00AA3566">
              <w:rPr>
                <w:rFonts w:ascii="Times New Roman" w:hAnsi="Times New Roman"/>
                <w:i/>
              </w:rPr>
              <w:t>TRUE</w:t>
            </w:r>
            <w:r w:rsidRPr="00AA3566">
              <w:rPr>
                <w:rFonts w:ascii="Times New Roman" w:hAnsi="Times New Roman"/>
              </w:rPr>
              <w:t>?</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A. The salesperson may accept the bonus if it is not a commission.</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B. Accepting the money is allowed if over 30 days have elapsed since the closing.</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C. The salesperson may accept the money if 60 days have elapsed since the closing.</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D. Accepting the money is a violation of IDFPR (Bureau of Real Estate Professionals) regulations.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 xml:space="preserve">Several weeks after closing, a broker received a thank-you letter and a bonus check from the seller of the house. The broker cashed the check because she felt it was earned. In this situation, which statement is </w:t>
            </w:r>
            <w:r w:rsidRPr="00AA3566">
              <w:rPr>
                <w:rFonts w:ascii="Times New Roman" w:hAnsi="Times New Roman"/>
                <w:i/>
              </w:rPr>
              <w:t>TRUE</w:t>
            </w:r>
            <w:r w:rsidRPr="00AA3566">
              <w:rPr>
                <w:rFonts w:ascii="Times New Roman" w:hAnsi="Times New Roman"/>
              </w:rPr>
              <w:t>?</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A. The broker may accept the bonus if it is not a commission.</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B. Accepting the money is allowed if over 30 days have elapsed since the closing.</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C. The broker may accept the money if 60 days have elapsed since the closing.</w:t>
            </w:r>
          </w:p>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D. Accepting the money is a violation of IDFPR (Bureau of Real Estate Professionals) regulations.</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16, question 12</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Salesperson J asked the telephone company to list her name in the directory under the real estate heading as “J, Real Estate Salesperson; residential property is my specialty!” Based on this information, J is also required to include</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Broker J asked the telephone company to list her name in the directory under the real estate heading as “J, Real Estate Broker; residential property is my specialty!” Based on this information, J is also required to include</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36, question 9</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Salespersons’ licenses expire on April 30 of odd-numbered years. Brokers’ licenses expire on April 30 of even-numbered years.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Brokers’ licenses expire on April 30 of odd-numbered years. Managing brokers’ licenses expire on April 30 of even-numbered years.</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36, question 10</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Salespersons must take 12 hours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Brokers must take 12 hours</w:t>
            </w:r>
          </w:p>
        </w:tc>
      </w:tr>
      <w:tr w:rsidR="008C507E" w:rsidRPr="00AA3566" w:rsidTr="0046426B">
        <w:trPr>
          <w:trHeight w:val="150"/>
          <w:jc w:val="center"/>
        </w:trPr>
        <w:tc>
          <w:tcPr>
            <w:tcW w:w="3445"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rPr>
              <w:t>50, question 10</w:t>
            </w:r>
          </w:p>
        </w:tc>
        <w:tc>
          <w:tcPr>
            <w:tcW w:w="328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b/>
              </w:rPr>
              <w:t>A.</w:t>
            </w:r>
            <w:r w:rsidRPr="00AA3566">
              <w:rPr>
                <w:rFonts w:ascii="Times New Roman" w:hAnsi="Times New Roman"/>
              </w:rPr>
              <w:t xml:space="preserve">  The answer is TEN DAYS.</w:t>
            </w:r>
          </w:p>
        </w:tc>
        <w:tc>
          <w:tcPr>
            <w:tcW w:w="3363" w:type="dxa"/>
          </w:tcPr>
          <w:p w:rsidR="008C507E" w:rsidRPr="00AA3566" w:rsidRDefault="008C507E" w:rsidP="00AA3566">
            <w:pPr>
              <w:tabs>
                <w:tab w:val="left" w:pos="1800"/>
              </w:tabs>
              <w:autoSpaceDE w:val="0"/>
              <w:autoSpaceDN w:val="0"/>
              <w:adjustRightInd w:val="0"/>
              <w:rPr>
                <w:rFonts w:ascii="Times New Roman" w:hAnsi="Times New Roman"/>
              </w:rPr>
            </w:pPr>
            <w:r w:rsidRPr="00AA3566">
              <w:rPr>
                <w:rFonts w:ascii="Times New Roman" w:hAnsi="Times New Roman"/>
                <w:b/>
              </w:rPr>
              <w:t>C.</w:t>
            </w:r>
            <w:r w:rsidRPr="00AA3566">
              <w:rPr>
                <w:rFonts w:ascii="Times New Roman" w:hAnsi="Times New Roman"/>
              </w:rPr>
              <w:t xml:space="preserve">  The answer is THIRTY DAYS.</w:t>
            </w:r>
          </w:p>
        </w:tc>
      </w:tr>
    </w:tbl>
    <w:p w:rsidR="008C507E" w:rsidRPr="007C0232" w:rsidRDefault="008C507E" w:rsidP="00B261C9">
      <w:pPr>
        <w:tabs>
          <w:tab w:val="left" w:pos="1800"/>
        </w:tabs>
        <w:autoSpaceDE w:val="0"/>
        <w:autoSpaceDN w:val="0"/>
        <w:adjustRightInd w:val="0"/>
        <w:rPr>
          <w:rFonts w:ascii="Times New Roman" w:hAnsi="Times New Roman"/>
        </w:rPr>
      </w:pPr>
    </w:p>
    <w:sectPr w:rsidR="008C507E"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7E" w:rsidRDefault="008C507E">
      <w:r>
        <w:separator/>
      </w:r>
    </w:p>
  </w:endnote>
  <w:endnote w:type="continuationSeparator" w:id="0">
    <w:p w:rsidR="008C507E" w:rsidRDefault="008C5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7E" w:rsidRDefault="008C507E"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07E" w:rsidRDefault="008C507E"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7E" w:rsidRPr="001159C0" w:rsidRDefault="008C507E" w:rsidP="001159C0">
    <w:pPr>
      <w:pStyle w:val="CM7"/>
      <w:jc w:val="right"/>
      <w:rPr>
        <w:rFonts w:ascii="Arial" w:hAnsi="Arial" w:cs="Arial"/>
      </w:rPr>
    </w:pPr>
    <w:r>
      <w:rPr>
        <w:rFonts w:ascii="Arial" w:hAnsi="Arial" w:cs="Arial"/>
        <w:sz w:val="20"/>
        <w:szCs w:val="20"/>
      </w:rPr>
      <w:t>©2012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7E" w:rsidRDefault="008C507E">
      <w:r>
        <w:separator/>
      </w:r>
    </w:p>
  </w:footnote>
  <w:footnote w:type="continuationSeparator" w:id="0">
    <w:p w:rsidR="008C507E" w:rsidRDefault="008C5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7E" w:rsidRPr="00AA3566" w:rsidRDefault="008C507E" w:rsidP="0094174A">
    <w:pPr>
      <w:pStyle w:val="Header"/>
      <w:jc w:val="right"/>
      <w:rPr>
        <w:rFonts w:ascii="Arial" w:hAnsi="Arial" w:cs="Arial"/>
        <w:i/>
        <w:sz w:val="20"/>
        <w:szCs w:val="20"/>
      </w:rPr>
    </w:pPr>
    <w:r>
      <w:rPr>
        <w:rFonts w:ascii="Arial" w:hAnsi="Arial" w:cs="Arial"/>
        <w:i/>
        <w:sz w:val="20"/>
        <w:szCs w:val="20"/>
      </w:rPr>
      <w:t>Illinois Real Estate Exam Prep, Fourth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26FDA"/>
    <w:multiLevelType w:val="hybridMultilevel"/>
    <w:tmpl w:val="7D48A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F14444"/>
    <w:multiLevelType w:val="hybridMultilevel"/>
    <w:tmpl w:val="7D48A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632A6"/>
    <w:rsid w:val="00097E04"/>
    <w:rsid w:val="000D144B"/>
    <w:rsid w:val="001159C0"/>
    <w:rsid w:val="00173F59"/>
    <w:rsid w:val="001B1E7E"/>
    <w:rsid w:val="002B00B8"/>
    <w:rsid w:val="003D4AB7"/>
    <w:rsid w:val="003F134C"/>
    <w:rsid w:val="0046426B"/>
    <w:rsid w:val="004A05EC"/>
    <w:rsid w:val="005B5AB5"/>
    <w:rsid w:val="0068025B"/>
    <w:rsid w:val="007214B0"/>
    <w:rsid w:val="007C0232"/>
    <w:rsid w:val="008C507E"/>
    <w:rsid w:val="00927FB5"/>
    <w:rsid w:val="0094174A"/>
    <w:rsid w:val="00A54C6C"/>
    <w:rsid w:val="00AA3566"/>
    <w:rsid w:val="00AB5671"/>
    <w:rsid w:val="00AF33C8"/>
    <w:rsid w:val="00B261C9"/>
    <w:rsid w:val="00B4617B"/>
    <w:rsid w:val="00D15438"/>
    <w:rsid w:val="00D70BAC"/>
    <w:rsid w:val="00DE2E72"/>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F6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82F6E"/>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82F6E"/>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82F6E"/>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1098210032">
      <w:marLeft w:val="0"/>
      <w:marRight w:val="0"/>
      <w:marTop w:val="0"/>
      <w:marBottom w:val="0"/>
      <w:divBdr>
        <w:top w:val="none" w:sz="0" w:space="0" w:color="auto"/>
        <w:left w:val="none" w:sz="0" w:space="0" w:color="auto"/>
        <w:bottom w:val="none" w:sz="0" w:space="0" w:color="auto"/>
        <w:right w:val="none" w:sz="0" w:space="0" w:color="auto"/>
      </w:divBdr>
    </w:div>
    <w:div w:id="109821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640</Words>
  <Characters>3653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Kugler</cp:lastModifiedBy>
  <cp:revision>14</cp:revision>
  <cp:lastPrinted>2006-08-18T15:15:00Z</cp:lastPrinted>
  <dcterms:created xsi:type="dcterms:W3CDTF">2009-01-15T20:39:00Z</dcterms:created>
  <dcterms:modified xsi:type="dcterms:W3CDTF">2012-11-19T16:17:00Z</dcterms:modified>
</cp:coreProperties>
</file>