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356D2A">
        <w:rPr>
          <w:rFonts w:ascii="Arial" w:hAnsi="Arial" w:cs="Arial"/>
          <w:b/>
          <w:sz w:val="32"/>
          <w:szCs w:val="32"/>
        </w:rPr>
        <w:t>7-04-12</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714E2" w:rsidRPr="005714E2">
        <w:rPr>
          <w:rFonts w:ascii="Times New Roman" w:hAnsi="Times New Roman"/>
          <w:i/>
        </w:rPr>
        <w:t>Maryland Real Estate Practice &amp; Law, Fourteenth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8B4360">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8B4360" w:rsidRPr="00B261C9" w:rsidTr="008B4360">
        <w:trPr>
          <w:trHeight w:val="150"/>
          <w:jc w:val="center"/>
        </w:trPr>
        <w:tc>
          <w:tcPr>
            <w:tcW w:w="3439" w:type="dxa"/>
          </w:tcPr>
          <w:p w:rsidR="008B4360" w:rsidRDefault="008B4360" w:rsidP="00B261C9">
            <w:pPr>
              <w:tabs>
                <w:tab w:val="left" w:pos="1800"/>
              </w:tabs>
              <w:autoSpaceDE w:val="0"/>
              <w:autoSpaceDN w:val="0"/>
              <w:adjustRightInd w:val="0"/>
              <w:rPr>
                <w:rFonts w:ascii="Times New Roman" w:hAnsi="Times New Roman"/>
              </w:rPr>
            </w:pPr>
            <w:r>
              <w:rPr>
                <w:rFonts w:ascii="Times New Roman" w:hAnsi="Times New Roman"/>
              </w:rPr>
              <w:t>32, question 20</w:t>
            </w:r>
          </w:p>
        </w:tc>
        <w:tc>
          <w:tcPr>
            <w:tcW w:w="3280" w:type="dxa"/>
          </w:tcPr>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1. Five members </w:t>
            </w:r>
          </w:p>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2. Four members that are not real estate licensees and five that are not licensees </w:t>
            </w:r>
          </w:p>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3. Four professional and five consumer members </w:t>
            </w:r>
          </w:p>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4. Representative brokers from real estate boards or associations throughout Maryland </w:t>
            </w:r>
          </w:p>
        </w:tc>
        <w:tc>
          <w:tcPr>
            <w:tcW w:w="3359" w:type="dxa"/>
          </w:tcPr>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1. Five members </w:t>
            </w:r>
          </w:p>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2. </w:t>
            </w:r>
            <w:r>
              <w:rPr>
                <w:rFonts w:ascii="Goudy Oldstyle Std" w:hAnsi="Goudy Oldstyle Std" w:cs="Goudy Oldstyle Std"/>
                <w:color w:val="221E1F"/>
                <w:sz w:val="22"/>
                <w:szCs w:val="22"/>
              </w:rPr>
              <w:t xml:space="preserve">Four members that are </w:t>
            </w:r>
            <w:r w:rsidR="00483B39">
              <w:rPr>
                <w:rFonts w:ascii="Goudy Oldstyle Std" w:hAnsi="Goudy Oldstyle Std" w:cs="Goudy Oldstyle Std"/>
                <w:color w:val="221E1F"/>
                <w:sz w:val="22"/>
                <w:szCs w:val="22"/>
              </w:rPr>
              <w:t xml:space="preserve">not </w:t>
            </w:r>
            <w:r w:rsidRPr="008B4360">
              <w:rPr>
                <w:rFonts w:ascii="Goudy Oldstyle Std" w:hAnsi="Goudy Oldstyle Std" w:cs="Goudy Oldstyle Std"/>
                <w:color w:val="221E1F"/>
                <w:sz w:val="22"/>
                <w:szCs w:val="22"/>
              </w:rPr>
              <w:t xml:space="preserve">real estate </w:t>
            </w:r>
            <w:r w:rsidR="00483B39">
              <w:rPr>
                <w:rFonts w:ascii="Goudy Oldstyle Std" w:hAnsi="Goudy Oldstyle Std" w:cs="Goudy Oldstyle Std"/>
                <w:color w:val="221E1F"/>
                <w:sz w:val="22"/>
                <w:szCs w:val="22"/>
              </w:rPr>
              <w:t xml:space="preserve">licensees and five that are </w:t>
            </w:r>
            <w:bookmarkStart w:id="0" w:name="_GoBack"/>
            <w:bookmarkEnd w:id="0"/>
            <w:r w:rsidRPr="008B4360">
              <w:rPr>
                <w:rFonts w:ascii="Goudy Oldstyle Std" w:hAnsi="Goudy Oldstyle Std" w:cs="Goudy Oldstyle Std"/>
                <w:color w:val="221E1F"/>
                <w:sz w:val="22"/>
                <w:szCs w:val="22"/>
              </w:rPr>
              <w:t xml:space="preserve">licensees </w:t>
            </w:r>
          </w:p>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color w:val="221E1F"/>
                <w:sz w:val="22"/>
                <w:szCs w:val="22"/>
              </w:rPr>
              <w:t xml:space="preserve">3. Four professional and five consumer members </w:t>
            </w:r>
          </w:p>
          <w:p w:rsidR="008B4360" w:rsidRPr="005714E2" w:rsidRDefault="008B4360" w:rsidP="008B4360">
            <w:pPr>
              <w:tabs>
                <w:tab w:val="left" w:pos="1800"/>
              </w:tabs>
              <w:autoSpaceDE w:val="0"/>
              <w:autoSpaceDN w:val="0"/>
              <w:adjustRightInd w:val="0"/>
              <w:rPr>
                <w:rFonts w:ascii="Times New Roman" w:hAnsi="Times New Roman"/>
                <w:b/>
              </w:rPr>
            </w:pPr>
            <w:r w:rsidRPr="008B4360">
              <w:rPr>
                <w:rFonts w:ascii="Goudy Oldstyle Std" w:hAnsi="Goudy Oldstyle Std" w:cs="Goudy Oldstyle Std"/>
                <w:color w:val="221E1F"/>
                <w:sz w:val="22"/>
                <w:szCs w:val="22"/>
              </w:rPr>
              <w:t>4. Representative brokers from real estate boards or associations throughout Maryland</w:t>
            </w:r>
          </w:p>
        </w:tc>
      </w:tr>
      <w:tr w:rsidR="00483B39" w:rsidRPr="00B261C9" w:rsidTr="008B4360">
        <w:trPr>
          <w:trHeight w:val="150"/>
          <w:jc w:val="center"/>
        </w:trPr>
        <w:tc>
          <w:tcPr>
            <w:tcW w:w="3439" w:type="dxa"/>
          </w:tcPr>
          <w:p w:rsidR="00483B39" w:rsidRDefault="00483B39" w:rsidP="00B261C9">
            <w:pPr>
              <w:tabs>
                <w:tab w:val="left" w:pos="1800"/>
              </w:tabs>
              <w:autoSpaceDE w:val="0"/>
              <w:autoSpaceDN w:val="0"/>
              <w:adjustRightInd w:val="0"/>
              <w:rPr>
                <w:rFonts w:ascii="Times New Roman" w:hAnsi="Times New Roman"/>
              </w:rPr>
            </w:pPr>
            <w:r>
              <w:rPr>
                <w:rFonts w:ascii="Times New Roman" w:hAnsi="Times New Roman"/>
              </w:rPr>
              <w:t>160, fourth paragraph</w:t>
            </w:r>
          </w:p>
        </w:tc>
        <w:tc>
          <w:tcPr>
            <w:tcW w:w="3280" w:type="dxa"/>
          </w:tcPr>
          <w:p w:rsidR="00483B39" w:rsidRPr="00483B39" w:rsidRDefault="00483B39" w:rsidP="008B4360">
            <w:pPr>
              <w:autoSpaceDE w:val="0"/>
              <w:autoSpaceDN w:val="0"/>
              <w:adjustRightInd w:val="0"/>
              <w:rPr>
                <w:rFonts w:ascii="Goudy Oldstyle Std" w:hAnsi="Goudy Oldstyle Std" w:cs="Goudy Oldstyle Std"/>
                <w:bCs/>
                <w:color w:val="221E1F"/>
                <w:sz w:val="22"/>
                <w:szCs w:val="22"/>
              </w:rPr>
            </w:pPr>
            <w:r w:rsidRPr="00483B39">
              <w:rPr>
                <w:rFonts w:ascii="Goudy Oldstyle Std" w:hAnsi="Goudy Oldstyle Std" w:cs="Goudy Oldstyle Std"/>
                <w:bCs/>
                <w:color w:val="221E1F"/>
                <w:sz w:val="22"/>
                <w:szCs w:val="22"/>
              </w:rPr>
              <w:t>(none)</w:t>
            </w:r>
          </w:p>
        </w:tc>
        <w:tc>
          <w:tcPr>
            <w:tcW w:w="3359" w:type="dxa"/>
          </w:tcPr>
          <w:p w:rsidR="00483B39" w:rsidRPr="00483B39" w:rsidRDefault="00483B39" w:rsidP="00A15156">
            <w:pPr>
              <w:autoSpaceDE w:val="0"/>
              <w:autoSpaceDN w:val="0"/>
              <w:adjustRightInd w:val="0"/>
              <w:rPr>
                <w:rFonts w:ascii="Goudy Oldstyle Std" w:hAnsi="Goudy Oldstyle Std" w:cs="Goudy Oldstyle Std"/>
                <w:bCs/>
                <w:color w:val="221E1F"/>
                <w:sz w:val="22"/>
                <w:szCs w:val="22"/>
              </w:rPr>
            </w:pPr>
            <w:r w:rsidRPr="00483B39">
              <w:rPr>
                <w:rFonts w:ascii="Goudy Oldstyle Std" w:hAnsi="Goudy Oldstyle Std" w:cs="Goudy Oldstyle Std"/>
                <w:bCs/>
                <w:color w:val="221E1F"/>
                <w:sz w:val="22"/>
                <w:szCs w:val="22"/>
              </w:rPr>
              <w:t>(insert fifth paragraph)</w:t>
            </w:r>
          </w:p>
          <w:p w:rsidR="00483B39" w:rsidRDefault="00483B39" w:rsidP="00A15156">
            <w:pPr>
              <w:autoSpaceDE w:val="0"/>
              <w:autoSpaceDN w:val="0"/>
              <w:adjustRightInd w:val="0"/>
              <w:rPr>
                <w:rFonts w:ascii="Goudy Oldstyle Std" w:hAnsi="Goudy Oldstyle Std" w:cs="Goudy Oldstyle Std"/>
                <w:b/>
                <w:bCs/>
                <w:color w:val="221E1F"/>
                <w:sz w:val="22"/>
                <w:szCs w:val="22"/>
              </w:rPr>
            </w:pPr>
            <w:r w:rsidRPr="00483B39">
              <w:rPr>
                <w:rFonts w:ascii="Goudy Oldstyle Std" w:hAnsi="Goudy Oldstyle Std" w:cs="Goudy Oldstyle Std"/>
                <w:bCs/>
                <w:color w:val="221E1F"/>
                <w:sz w:val="22"/>
                <w:szCs w:val="22"/>
              </w:rPr>
              <w:t>Although Maryland is generally considered to be an English Common Law foreclosure state, the Maryland General Assembly has adopted statutory processes for an owner-occupied residential foreclosure. Various notifications to the property owner and an opportunity for mediation are required. These requirements are not required on commercial property.</w:t>
            </w:r>
          </w:p>
        </w:tc>
      </w:tr>
      <w:tr w:rsidR="008B4360" w:rsidRPr="00B261C9" w:rsidTr="008B4360">
        <w:trPr>
          <w:trHeight w:val="150"/>
          <w:jc w:val="center"/>
        </w:trPr>
        <w:tc>
          <w:tcPr>
            <w:tcW w:w="3439" w:type="dxa"/>
          </w:tcPr>
          <w:p w:rsidR="008B4360" w:rsidRDefault="008B4360" w:rsidP="00B261C9">
            <w:pPr>
              <w:tabs>
                <w:tab w:val="left" w:pos="1800"/>
              </w:tabs>
              <w:autoSpaceDE w:val="0"/>
              <w:autoSpaceDN w:val="0"/>
              <w:adjustRightInd w:val="0"/>
              <w:rPr>
                <w:rFonts w:ascii="Times New Roman" w:hAnsi="Times New Roman"/>
              </w:rPr>
            </w:pPr>
            <w:r>
              <w:rPr>
                <w:rFonts w:ascii="Times New Roman" w:hAnsi="Times New Roman"/>
              </w:rPr>
              <w:t>244, question 27</w:t>
            </w:r>
          </w:p>
        </w:tc>
        <w:tc>
          <w:tcPr>
            <w:tcW w:w="3280" w:type="dxa"/>
          </w:tcPr>
          <w:p w:rsidR="008B4360" w:rsidRPr="008B4360" w:rsidRDefault="008B4360" w:rsidP="008B4360">
            <w:pPr>
              <w:autoSpaceDE w:val="0"/>
              <w:autoSpaceDN w:val="0"/>
              <w:adjustRightInd w:val="0"/>
              <w:rPr>
                <w:rFonts w:ascii="Goudy Oldstyle Std" w:hAnsi="Goudy Oldstyle Std" w:cs="Goudy Oldstyle Std"/>
                <w:color w:val="221E1F"/>
                <w:sz w:val="22"/>
                <w:szCs w:val="22"/>
              </w:rPr>
            </w:pPr>
            <w:r w:rsidRPr="008B4360">
              <w:rPr>
                <w:rFonts w:ascii="Goudy Oldstyle Std" w:hAnsi="Goudy Oldstyle Std" w:cs="Goudy Oldstyle Std"/>
                <w:b/>
                <w:bCs/>
                <w:color w:val="221E1F"/>
                <w:sz w:val="22"/>
                <w:szCs w:val="22"/>
              </w:rPr>
              <w:t xml:space="preserve">(2) </w:t>
            </w:r>
            <w:r w:rsidRPr="008B4360">
              <w:rPr>
                <w:rFonts w:ascii="Goudy Oldstyle Std" w:hAnsi="Goudy Oldstyle Std" w:cs="Goudy Oldstyle Std"/>
                <w:color w:val="221E1F"/>
                <w:sz w:val="22"/>
                <w:szCs w:val="22"/>
              </w:rPr>
              <w:t xml:space="preserve">Maximum recovery from the Guaranty Fund is $25,000 per transaction. Only actual losses are covered. </w:t>
            </w:r>
          </w:p>
        </w:tc>
        <w:tc>
          <w:tcPr>
            <w:tcW w:w="3359" w:type="dxa"/>
          </w:tcPr>
          <w:p w:rsidR="008B4360" w:rsidRPr="008B4360" w:rsidRDefault="008B4360" w:rsidP="00A15156">
            <w:pPr>
              <w:autoSpaceDE w:val="0"/>
              <w:autoSpaceDN w:val="0"/>
              <w:adjustRightInd w:val="0"/>
              <w:rPr>
                <w:rFonts w:ascii="Goudy Oldstyle Std" w:hAnsi="Goudy Oldstyle Std" w:cs="Goudy Oldstyle Std"/>
                <w:color w:val="221E1F"/>
                <w:sz w:val="22"/>
                <w:szCs w:val="22"/>
              </w:rPr>
            </w:pPr>
            <w:r>
              <w:rPr>
                <w:rFonts w:ascii="Goudy Oldstyle Std" w:hAnsi="Goudy Oldstyle Std" w:cs="Goudy Oldstyle Std"/>
                <w:b/>
                <w:bCs/>
                <w:color w:val="221E1F"/>
                <w:sz w:val="22"/>
                <w:szCs w:val="22"/>
              </w:rPr>
              <w:t>(1</w:t>
            </w:r>
            <w:r w:rsidRPr="008B4360">
              <w:rPr>
                <w:rFonts w:ascii="Goudy Oldstyle Std" w:hAnsi="Goudy Oldstyle Std" w:cs="Goudy Oldstyle Std"/>
                <w:b/>
                <w:bCs/>
                <w:color w:val="221E1F"/>
                <w:sz w:val="22"/>
                <w:szCs w:val="22"/>
              </w:rPr>
              <w:t xml:space="preserve">) </w:t>
            </w:r>
            <w:r w:rsidRPr="008B4360">
              <w:rPr>
                <w:rFonts w:ascii="Goudy Oldstyle Std" w:hAnsi="Goudy Oldstyle Std" w:cs="Goudy Oldstyle Std"/>
                <w:color w:val="221E1F"/>
                <w:sz w:val="22"/>
                <w:szCs w:val="22"/>
              </w:rPr>
              <w:t>Maximum recove</w:t>
            </w:r>
            <w:r>
              <w:rPr>
                <w:rFonts w:ascii="Goudy Oldstyle Std" w:hAnsi="Goudy Oldstyle Std" w:cs="Goudy Oldstyle Std"/>
                <w:color w:val="221E1F"/>
                <w:sz w:val="22"/>
                <w:szCs w:val="22"/>
              </w:rPr>
              <w:t>ry from the Guaranty Fund is $50</w:t>
            </w:r>
            <w:r w:rsidRPr="008B4360">
              <w:rPr>
                <w:rFonts w:ascii="Goudy Oldstyle Std" w:hAnsi="Goudy Oldstyle Std" w:cs="Goudy Oldstyle Std"/>
                <w:color w:val="221E1F"/>
                <w:sz w:val="22"/>
                <w:szCs w:val="22"/>
              </w:rPr>
              <w:t xml:space="preserve">,000 per transaction. Only actual losses are covered. </w:t>
            </w:r>
          </w:p>
        </w:tc>
      </w:tr>
      <w:tr w:rsidR="008B4360" w:rsidRPr="00B261C9" w:rsidTr="008B4360">
        <w:trPr>
          <w:trHeight w:val="150"/>
          <w:jc w:val="center"/>
        </w:trPr>
        <w:tc>
          <w:tcPr>
            <w:tcW w:w="3439" w:type="dxa"/>
          </w:tcPr>
          <w:p w:rsidR="008B4360" w:rsidRPr="00AF33C8" w:rsidRDefault="008B4360" w:rsidP="00B261C9">
            <w:pPr>
              <w:tabs>
                <w:tab w:val="left" w:pos="1800"/>
              </w:tabs>
              <w:autoSpaceDE w:val="0"/>
              <w:autoSpaceDN w:val="0"/>
              <w:adjustRightInd w:val="0"/>
              <w:rPr>
                <w:rFonts w:ascii="Times New Roman" w:hAnsi="Times New Roman"/>
              </w:rPr>
            </w:pPr>
            <w:r>
              <w:rPr>
                <w:rFonts w:ascii="Times New Roman" w:hAnsi="Times New Roman"/>
              </w:rPr>
              <w:t>251, question 5</w:t>
            </w:r>
          </w:p>
        </w:tc>
        <w:tc>
          <w:tcPr>
            <w:tcW w:w="3280" w:type="dxa"/>
          </w:tcPr>
          <w:p w:rsidR="008B4360" w:rsidRPr="00AF33C8" w:rsidRDefault="008B4360" w:rsidP="00B261C9">
            <w:pPr>
              <w:tabs>
                <w:tab w:val="left" w:pos="1800"/>
              </w:tabs>
              <w:autoSpaceDE w:val="0"/>
              <w:autoSpaceDN w:val="0"/>
              <w:adjustRightInd w:val="0"/>
              <w:rPr>
                <w:rFonts w:ascii="Times New Roman" w:hAnsi="Times New Roman"/>
              </w:rPr>
            </w:pPr>
            <w:r w:rsidRPr="005714E2">
              <w:rPr>
                <w:rFonts w:ascii="Times New Roman" w:hAnsi="Times New Roman"/>
                <w:b/>
              </w:rPr>
              <w:t>(3)</w:t>
            </w:r>
            <w:r w:rsidRPr="005714E2">
              <w:rPr>
                <w:rFonts w:ascii="Times New Roman" w:hAnsi="Times New Roman"/>
              </w:rPr>
              <w:t xml:space="preserve"> The maximum loss that is covered is $25,000 per transaction.</w:t>
            </w:r>
          </w:p>
        </w:tc>
        <w:tc>
          <w:tcPr>
            <w:tcW w:w="3359" w:type="dxa"/>
          </w:tcPr>
          <w:p w:rsidR="008B4360" w:rsidRPr="00AF33C8" w:rsidRDefault="008B4360" w:rsidP="00B261C9">
            <w:pPr>
              <w:tabs>
                <w:tab w:val="left" w:pos="1800"/>
              </w:tabs>
              <w:autoSpaceDE w:val="0"/>
              <w:autoSpaceDN w:val="0"/>
              <w:adjustRightInd w:val="0"/>
              <w:rPr>
                <w:rFonts w:ascii="Times New Roman" w:hAnsi="Times New Roman"/>
              </w:rPr>
            </w:pPr>
            <w:r w:rsidRPr="005714E2">
              <w:rPr>
                <w:rFonts w:ascii="Times New Roman" w:hAnsi="Times New Roman"/>
                <w:b/>
              </w:rPr>
              <w:t>(3)</w:t>
            </w:r>
            <w:r w:rsidRPr="005714E2">
              <w:rPr>
                <w:rFonts w:ascii="Times New Roman" w:hAnsi="Times New Roman"/>
              </w:rPr>
              <w:t xml:space="preserve"> The maximum loss that is covered is $50,000 per transaction.</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14" w:rsidRDefault="00134B14">
      <w:r>
        <w:separator/>
      </w:r>
    </w:p>
  </w:endnote>
  <w:endnote w:type="continuationSeparator" w:id="0">
    <w:p w:rsidR="00134B14" w:rsidRDefault="0013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72" w:rsidRDefault="00832684"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14" w:rsidRDefault="00134B14">
      <w:r>
        <w:separator/>
      </w:r>
    </w:p>
  </w:footnote>
  <w:footnote w:type="continuationSeparator" w:id="0">
    <w:p w:rsidR="00134B14" w:rsidRDefault="0013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A" w:rsidRPr="0094174A" w:rsidRDefault="005714E2" w:rsidP="0094174A">
    <w:pPr>
      <w:pStyle w:val="Header"/>
      <w:jc w:val="right"/>
      <w:rPr>
        <w:rFonts w:ascii="Arial" w:hAnsi="Arial" w:cs="Arial"/>
        <w:i/>
        <w:sz w:val="20"/>
        <w:szCs w:val="20"/>
      </w:rPr>
    </w:pPr>
    <w:r>
      <w:rPr>
        <w:rFonts w:ascii="Arial" w:hAnsi="Arial" w:cs="Arial"/>
        <w:i/>
        <w:sz w:val="20"/>
        <w:szCs w:val="20"/>
      </w:rPr>
      <w:t>Maryland Real Estate Practice &amp; Law, Fourteenth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D144B"/>
    <w:rsid w:val="001159C0"/>
    <w:rsid w:val="00134B14"/>
    <w:rsid w:val="00173F59"/>
    <w:rsid w:val="001B1E7E"/>
    <w:rsid w:val="002B00B8"/>
    <w:rsid w:val="00356D2A"/>
    <w:rsid w:val="003D4AB7"/>
    <w:rsid w:val="003F134C"/>
    <w:rsid w:val="00400649"/>
    <w:rsid w:val="00414AE1"/>
    <w:rsid w:val="0044429C"/>
    <w:rsid w:val="00483B39"/>
    <w:rsid w:val="004A05EC"/>
    <w:rsid w:val="005714E2"/>
    <w:rsid w:val="005B5AB5"/>
    <w:rsid w:val="006217A0"/>
    <w:rsid w:val="0068025B"/>
    <w:rsid w:val="00705BF4"/>
    <w:rsid w:val="007214B0"/>
    <w:rsid w:val="007C0232"/>
    <w:rsid w:val="00832684"/>
    <w:rsid w:val="008B4360"/>
    <w:rsid w:val="00927FB5"/>
    <w:rsid w:val="0094174A"/>
    <w:rsid w:val="00993F15"/>
    <w:rsid w:val="009A6DA1"/>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0">
    <w:name w:val="A10"/>
    <w:uiPriority w:val="99"/>
    <w:rsid w:val="008B4360"/>
    <w:rPr>
      <w:rFonts w:cs="Goudy Oldstyle Std"/>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0">
    <w:name w:val="A10"/>
    <w:uiPriority w:val="99"/>
    <w:rsid w:val="008B4360"/>
    <w:rPr>
      <w:rFonts w:cs="Goudy Oldstyle St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5</cp:revision>
  <cp:lastPrinted>2006-08-18T16:15:00Z</cp:lastPrinted>
  <dcterms:created xsi:type="dcterms:W3CDTF">2017-04-12T18:55:00Z</dcterms:created>
  <dcterms:modified xsi:type="dcterms:W3CDTF">2017-04-12T19:03:00Z</dcterms:modified>
</cp:coreProperties>
</file>