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C14E09" w:rsidRDefault="004F1FBD" w:rsidP="0094174A">
      <w:pPr>
        <w:jc w:val="center"/>
        <w:rPr>
          <w:rFonts w:ascii="Arial" w:hAnsi="Arial" w:cs="Arial"/>
          <w:b/>
          <w:sz w:val="32"/>
          <w:szCs w:val="32"/>
        </w:rPr>
      </w:pPr>
      <w:r w:rsidRPr="00C14E09">
        <w:rPr>
          <w:rFonts w:ascii="Arial" w:hAnsi="Arial" w:cs="Arial"/>
          <w:b/>
          <w:sz w:val="32"/>
          <w:szCs w:val="32"/>
        </w:rPr>
        <w:t>Errata</w:t>
      </w:r>
    </w:p>
    <w:p w:rsidR="00173F59" w:rsidRPr="00C14E09" w:rsidRDefault="00173F59" w:rsidP="00173F59">
      <w:pPr>
        <w:rPr>
          <w:rFonts w:ascii="Times New Roman" w:hAnsi="Times New Roman"/>
        </w:rPr>
      </w:pPr>
    </w:p>
    <w:p w:rsidR="0094174A" w:rsidRPr="00C14E09" w:rsidRDefault="0094174A" w:rsidP="00173F59">
      <w:pPr>
        <w:rPr>
          <w:rFonts w:ascii="Times New Roman" w:hAnsi="Times New Roman"/>
        </w:rPr>
      </w:pPr>
    </w:p>
    <w:p w:rsidR="00173F59" w:rsidRPr="00C14E09" w:rsidRDefault="00173F59" w:rsidP="00173F59">
      <w:pPr>
        <w:rPr>
          <w:rFonts w:ascii="Times New Roman" w:hAnsi="Times New Roman"/>
          <w:b/>
        </w:rPr>
      </w:pPr>
      <w:r w:rsidRPr="00C14E09">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C5241E" w:rsidRPr="00C14E09">
        <w:rPr>
          <w:rFonts w:ascii="Times New Roman" w:hAnsi="Times New Roman"/>
          <w:i/>
        </w:rPr>
        <w:t>Modern Real Estate Practice in Illinois, Ninth Edition</w:t>
      </w:r>
      <w:r w:rsidR="003D5E8E">
        <w:rPr>
          <w:rFonts w:ascii="Times New Roman" w:hAnsi="Times New Roman"/>
          <w:i/>
        </w:rPr>
        <w:t xml:space="preserve"> update</w:t>
      </w:r>
      <w:r w:rsidRPr="00C14E09">
        <w:rPr>
          <w:rFonts w:ascii="Times New Roman" w:hAnsi="Times New Roman"/>
        </w:rPr>
        <w:t xml:space="preserve">. </w:t>
      </w:r>
    </w:p>
    <w:p w:rsidR="00173F59" w:rsidRPr="00C14E09" w:rsidRDefault="00173F59" w:rsidP="00173F59">
      <w:pPr>
        <w:tabs>
          <w:tab w:val="left" w:pos="1800"/>
        </w:tabs>
        <w:autoSpaceDE w:val="0"/>
        <w:autoSpaceDN w:val="0"/>
        <w:adjustRightInd w:val="0"/>
        <w:rPr>
          <w:rFonts w:ascii="Times New Roman" w:hAnsi="Times New Roman"/>
          <w:b/>
        </w:rPr>
      </w:pPr>
    </w:p>
    <w:p w:rsidR="00B261C9" w:rsidRPr="00C14E09"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3203"/>
        <w:gridCol w:w="3280"/>
      </w:tblGrid>
      <w:tr w:rsidR="00B261C9" w:rsidRPr="00C14E09" w:rsidTr="00BD3507">
        <w:trPr>
          <w:trHeight w:val="144"/>
          <w:jc w:val="center"/>
        </w:trPr>
        <w:tc>
          <w:tcPr>
            <w:tcW w:w="3439" w:type="dxa"/>
            <w:shd w:val="clear" w:color="auto" w:fill="CCFFCC"/>
          </w:tcPr>
          <w:p w:rsidR="00B261C9" w:rsidRPr="00C14E09" w:rsidRDefault="00B261C9" w:rsidP="00B261C9">
            <w:pPr>
              <w:tabs>
                <w:tab w:val="left" w:pos="1800"/>
              </w:tabs>
              <w:autoSpaceDE w:val="0"/>
              <w:autoSpaceDN w:val="0"/>
              <w:adjustRightInd w:val="0"/>
              <w:jc w:val="center"/>
              <w:rPr>
                <w:rFonts w:ascii="Times New Roman" w:hAnsi="Times New Roman"/>
                <w:b/>
              </w:rPr>
            </w:pPr>
            <w:r w:rsidRPr="00C14E09">
              <w:rPr>
                <w:rFonts w:ascii="Times New Roman" w:hAnsi="Times New Roman"/>
                <w:b/>
              </w:rPr>
              <w:t>Page/Location</w:t>
            </w:r>
          </w:p>
        </w:tc>
        <w:tc>
          <w:tcPr>
            <w:tcW w:w="3280" w:type="dxa"/>
            <w:shd w:val="clear" w:color="auto" w:fill="CCFFCC"/>
          </w:tcPr>
          <w:p w:rsidR="00B261C9" w:rsidRPr="00C14E09" w:rsidRDefault="004F1FBD" w:rsidP="00B261C9">
            <w:pPr>
              <w:tabs>
                <w:tab w:val="left" w:pos="1800"/>
              </w:tabs>
              <w:autoSpaceDE w:val="0"/>
              <w:autoSpaceDN w:val="0"/>
              <w:adjustRightInd w:val="0"/>
              <w:jc w:val="center"/>
              <w:rPr>
                <w:rFonts w:ascii="Times New Roman" w:hAnsi="Times New Roman"/>
                <w:b/>
              </w:rPr>
            </w:pPr>
            <w:r w:rsidRPr="00C14E09">
              <w:rPr>
                <w:rFonts w:ascii="Times New Roman" w:hAnsi="Times New Roman"/>
                <w:b/>
              </w:rPr>
              <w:t>Reads Now</w:t>
            </w:r>
          </w:p>
        </w:tc>
        <w:tc>
          <w:tcPr>
            <w:tcW w:w="3359" w:type="dxa"/>
            <w:shd w:val="clear" w:color="auto" w:fill="CCFFCC"/>
          </w:tcPr>
          <w:p w:rsidR="00B261C9" w:rsidRPr="00C14E09" w:rsidRDefault="004F1FBD" w:rsidP="00B261C9">
            <w:pPr>
              <w:tabs>
                <w:tab w:val="left" w:pos="1800"/>
              </w:tabs>
              <w:autoSpaceDE w:val="0"/>
              <w:autoSpaceDN w:val="0"/>
              <w:adjustRightInd w:val="0"/>
              <w:jc w:val="center"/>
              <w:rPr>
                <w:rFonts w:ascii="Times New Roman" w:hAnsi="Times New Roman"/>
                <w:b/>
              </w:rPr>
            </w:pPr>
            <w:r w:rsidRPr="00C14E09">
              <w:rPr>
                <w:rFonts w:ascii="Times New Roman" w:hAnsi="Times New Roman"/>
                <w:b/>
              </w:rPr>
              <w:t>Should Be</w:t>
            </w:r>
          </w:p>
        </w:tc>
      </w:tr>
      <w:tr w:rsidR="00973C21" w:rsidRPr="00C14E09" w:rsidTr="00BE158D">
        <w:trPr>
          <w:trHeight w:val="150"/>
          <w:jc w:val="center"/>
        </w:trPr>
        <w:tc>
          <w:tcPr>
            <w:tcW w:w="3439" w:type="dxa"/>
          </w:tcPr>
          <w:p w:rsidR="00973C21" w:rsidRDefault="00973C21" w:rsidP="00BE158D">
            <w:pPr>
              <w:tabs>
                <w:tab w:val="left" w:pos="1800"/>
              </w:tabs>
              <w:autoSpaceDE w:val="0"/>
              <w:autoSpaceDN w:val="0"/>
              <w:adjustRightInd w:val="0"/>
              <w:rPr>
                <w:rFonts w:ascii="Times New Roman" w:hAnsi="Times New Roman"/>
              </w:rPr>
            </w:pPr>
            <w:r>
              <w:rPr>
                <w:rFonts w:ascii="Times New Roman" w:hAnsi="Times New Roman"/>
              </w:rPr>
              <w:t>150, 4</w:t>
            </w:r>
            <w:r w:rsidRPr="00973C21">
              <w:rPr>
                <w:rFonts w:ascii="Times New Roman" w:hAnsi="Times New Roman"/>
                <w:vertAlign w:val="superscript"/>
              </w:rPr>
              <w:t>th</w:t>
            </w:r>
            <w:r>
              <w:rPr>
                <w:rFonts w:ascii="Times New Roman" w:hAnsi="Times New Roman"/>
              </w:rPr>
              <w:t xml:space="preserve"> paragraph</w:t>
            </w:r>
          </w:p>
        </w:tc>
        <w:tc>
          <w:tcPr>
            <w:tcW w:w="3280" w:type="dxa"/>
          </w:tcPr>
          <w:p w:rsidR="00973C21" w:rsidRDefault="00973C21" w:rsidP="00BE158D">
            <w:pPr>
              <w:tabs>
                <w:tab w:val="left" w:pos="1800"/>
              </w:tabs>
              <w:autoSpaceDE w:val="0"/>
              <w:autoSpaceDN w:val="0"/>
              <w:adjustRightInd w:val="0"/>
              <w:rPr>
                <w:rFonts w:ascii="Times New Roman" w:hAnsi="Times New Roman"/>
              </w:rPr>
            </w:pPr>
            <w:r>
              <w:rPr>
                <w:rFonts w:ascii="Times New Roman" w:hAnsi="Times New Roman"/>
              </w:rPr>
              <w:t>[End of the paragraph]</w:t>
            </w:r>
          </w:p>
        </w:tc>
        <w:tc>
          <w:tcPr>
            <w:tcW w:w="3359" w:type="dxa"/>
          </w:tcPr>
          <w:p w:rsidR="00973C21" w:rsidRPr="00C14E09" w:rsidRDefault="00973C21" w:rsidP="00BE158D">
            <w:pPr>
              <w:tabs>
                <w:tab w:val="left" w:pos="1800"/>
              </w:tabs>
              <w:autoSpaceDE w:val="0"/>
              <w:autoSpaceDN w:val="0"/>
              <w:adjustRightInd w:val="0"/>
              <w:rPr>
                <w:rFonts w:ascii="Times New Roman" w:hAnsi="Times New Roman"/>
              </w:rPr>
            </w:pPr>
            <w:r w:rsidRPr="00973C21">
              <w:rPr>
                <w:rFonts w:ascii="Times New Roman" w:hAnsi="Times New Roman"/>
              </w:rPr>
              <w:t>NOTE: The Illinois Timeshare Act was repealed in 2018.</w:t>
            </w:r>
          </w:p>
        </w:tc>
      </w:tr>
      <w:tr w:rsidR="003D5E8E" w:rsidRPr="00C14E09" w:rsidTr="00BE158D">
        <w:trPr>
          <w:trHeight w:val="150"/>
          <w:jc w:val="center"/>
        </w:trPr>
        <w:tc>
          <w:tcPr>
            <w:tcW w:w="3439" w:type="dxa"/>
          </w:tcPr>
          <w:p w:rsidR="003D5E8E" w:rsidRPr="00C14E09" w:rsidRDefault="003D5E8E" w:rsidP="00BE158D">
            <w:pPr>
              <w:tabs>
                <w:tab w:val="left" w:pos="1800"/>
              </w:tabs>
              <w:autoSpaceDE w:val="0"/>
              <w:autoSpaceDN w:val="0"/>
              <w:adjustRightInd w:val="0"/>
              <w:rPr>
                <w:rFonts w:ascii="Times New Roman" w:hAnsi="Times New Roman"/>
              </w:rPr>
            </w:pPr>
            <w:r>
              <w:rPr>
                <w:rFonts w:ascii="Times New Roman" w:hAnsi="Times New Roman"/>
              </w:rPr>
              <w:t>248</w:t>
            </w:r>
          </w:p>
        </w:tc>
        <w:tc>
          <w:tcPr>
            <w:tcW w:w="3280" w:type="dxa"/>
          </w:tcPr>
          <w:p w:rsidR="003D5E8E" w:rsidRPr="00C14E09" w:rsidRDefault="003D5E8E" w:rsidP="00BE158D">
            <w:pPr>
              <w:tabs>
                <w:tab w:val="left" w:pos="1800"/>
              </w:tabs>
              <w:autoSpaceDE w:val="0"/>
              <w:autoSpaceDN w:val="0"/>
              <w:adjustRightInd w:val="0"/>
              <w:rPr>
                <w:rFonts w:ascii="Times New Roman" w:hAnsi="Times New Roman"/>
              </w:rPr>
            </w:pPr>
            <w:r>
              <w:rPr>
                <w:rFonts w:ascii="Times New Roman" w:hAnsi="Times New Roman"/>
              </w:rPr>
              <w:t>Branch office license</w:t>
            </w:r>
          </w:p>
        </w:tc>
        <w:tc>
          <w:tcPr>
            <w:tcW w:w="3359" w:type="dxa"/>
          </w:tcPr>
          <w:p w:rsidR="003D5E8E" w:rsidRPr="00C14E09" w:rsidRDefault="003D5E8E" w:rsidP="00BE158D">
            <w:pPr>
              <w:tabs>
                <w:tab w:val="left" w:pos="1800"/>
              </w:tabs>
              <w:autoSpaceDE w:val="0"/>
              <w:autoSpaceDN w:val="0"/>
              <w:adjustRightInd w:val="0"/>
              <w:rPr>
                <w:rFonts w:ascii="Times New Roman" w:hAnsi="Times New Roman"/>
              </w:rPr>
            </w:pPr>
          </w:p>
        </w:tc>
      </w:tr>
      <w:tr w:rsidR="003D5E8E" w:rsidRPr="00C14E09" w:rsidTr="00BE158D">
        <w:trPr>
          <w:trHeight w:val="150"/>
          <w:jc w:val="center"/>
        </w:trPr>
        <w:tc>
          <w:tcPr>
            <w:tcW w:w="3439" w:type="dxa"/>
          </w:tcPr>
          <w:p w:rsidR="003D5E8E" w:rsidRPr="00C14E09" w:rsidRDefault="003D5E8E" w:rsidP="00BE158D">
            <w:pPr>
              <w:tabs>
                <w:tab w:val="left" w:pos="1800"/>
              </w:tabs>
              <w:autoSpaceDE w:val="0"/>
              <w:autoSpaceDN w:val="0"/>
              <w:adjustRightInd w:val="0"/>
              <w:rPr>
                <w:rFonts w:ascii="Times New Roman" w:hAnsi="Times New Roman"/>
              </w:rPr>
            </w:pPr>
            <w:r>
              <w:rPr>
                <w:rFonts w:ascii="Times New Roman" w:hAnsi="Times New Roman"/>
              </w:rPr>
              <w:t>250</w:t>
            </w:r>
          </w:p>
        </w:tc>
        <w:tc>
          <w:tcPr>
            <w:tcW w:w="3280" w:type="dxa"/>
          </w:tcPr>
          <w:p w:rsidR="003D5E8E" w:rsidRPr="00C14E09" w:rsidRDefault="003D5E8E" w:rsidP="00BE158D">
            <w:pPr>
              <w:tabs>
                <w:tab w:val="left" w:pos="1800"/>
              </w:tabs>
              <w:autoSpaceDE w:val="0"/>
              <w:autoSpaceDN w:val="0"/>
              <w:adjustRightInd w:val="0"/>
              <w:rPr>
                <w:rFonts w:ascii="Times New Roman" w:hAnsi="Times New Roman"/>
              </w:rPr>
            </w:pPr>
            <w:r>
              <w:rPr>
                <w:rFonts w:ascii="Times New Roman" w:hAnsi="Times New Roman"/>
              </w:rPr>
              <w:t>12</w:t>
            </w:r>
          </w:p>
        </w:tc>
        <w:tc>
          <w:tcPr>
            <w:tcW w:w="3359" w:type="dxa"/>
          </w:tcPr>
          <w:p w:rsidR="003D5E8E" w:rsidRPr="00C14E09" w:rsidRDefault="003D5E8E" w:rsidP="00BE158D">
            <w:pPr>
              <w:tabs>
                <w:tab w:val="left" w:pos="1800"/>
              </w:tabs>
              <w:autoSpaceDE w:val="0"/>
              <w:autoSpaceDN w:val="0"/>
              <w:adjustRightInd w:val="0"/>
              <w:rPr>
                <w:rFonts w:ascii="Times New Roman" w:hAnsi="Times New Roman"/>
              </w:rPr>
            </w:pPr>
            <w:r>
              <w:rPr>
                <w:rFonts w:ascii="Times New Roman" w:hAnsi="Times New Roman"/>
              </w:rPr>
              <w:t>10</w:t>
            </w:r>
          </w:p>
        </w:tc>
      </w:tr>
      <w:tr w:rsidR="003D5E8E" w:rsidRPr="00C14E09" w:rsidTr="00BE158D">
        <w:trPr>
          <w:trHeight w:val="150"/>
          <w:jc w:val="center"/>
        </w:trPr>
        <w:tc>
          <w:tcPr>
            <w:tcW w:w="3439" w:type="dxa"/>
          </w:tcPr>
          <w:p w:rsidR="003D5E8E" w:rsidRPr="00C14E09" w:rsidRDefault="003D5E8E" w:rsidP="00BE158D">
            <w:pPr>
              <w:tabs>
                <w:tab w:val="left" w:pos="1800"/>
              </w:tabs>
              <w:autoSpaceDE w:val="0"/>
              <w:autoSpaceDN w:val="0"/>
              <w:adjustRightInd w:val="0"/>
              <w:rPr>
                <w:rFonts w:ascii="Times New Roman" w:hAnsi="Times New Roman"/>
              </w:rPr>
            </w:pPr>
            <w:r>
              <w:rPr>
                <w:rFonts w:ascii="Times New Roman" w:hAnsi="Times New Roman"/>
              </w:rPr>
              <w:t>255</w:t>
            </w:r>
          </w:p>
        </w:tc>
        <w:tc>
          <w:tcPr>
            <w:tcW w:w="3280" w:type="dxa"/>
          </w:tcPr>
          <w:p w:rsidR="003D5E8E" w:rsidRPr="003D5E8E" w:rsidRDefault="003D5E8E" w:rsidP="003D5E8E">
            <w:pPr>
              <w:autoSpaceDE w:val="0"/>
              <w:autoSpaceDN w:val="0"/>
              <w:adjustRightInd w:val="0"/>
              <w:rPr>
                <w:rFonts w:ascii="Times New Roman" w:hAnsi="Times New Roman"/>
                <w:color w:val="000000"/>
              </w:rPr>
            </w:pPr>
          </w:p>
          <w:p w:rsidR="003D5E8E" w:rsidRPr="00C0237A" w:rsidRDefault="003D5E8E" w:rsidP="003D5E8E">
            <w:pPr>
              <w:tabs>
                <w:tab w:val="left" w:pos="1800"/>
              </w:tabs>
              <w:autoSpaceDE w:val="0"/>
              <w:autoSpaceDN w:val="0"/>
              <w:adjustRightInd w:val="0"/>
              <w:rPr>
                <w:rFonts w:ascii="Times New Roman" w:hAnsi="Times New Roman"/>
              </w:rPr>
            </w:pPr>
            <w:r w:rsidRPr="00C0237A">
              <w:rPr>
                <w:rFonts w:ascii="Times New Roman" w:hAnsi="Times New Roman"/>
                <w:color w:val="211D1E"/>
              </w:rPr>
              <w:t>A corporation, partnership, or limited liability company (LLC) may receive a bro</w:t>
            </w:r>
            <w:r w:rsidRPr="00C0237A">
              <w:rPr>
                <w:rFonts w:ascii="Times New Roman" w:hAnsi="Times New Roman"/>
                <w:color w:val="211D1E"/>
              </w:rPr>
              <w:softHyphen/>
              <w:t>ker’s license under the following conditions:</w:t>
            </w:r>
          </w:p>
        </w:tc>
        <w:tc>
          <w:tcPr>
            <w:tcW w:w="3359" w:type="dxa"/>
          </w:tcPr>
          <w:p w:rsidR="003D5E8E" w:rsidRPr="00C0237A" w:rsidRDefault="003D5E8E" w:rsidP="003D5E8E">
            <w:pPr>
              <w:pStyle w:val="Default"/>
              <w:rPr>
                <w:rFonts w:ascii="Times New Roman" w:hAnsi="Times New Roman"/>
              </w:rPr>
            </w:pPr>
            <w:r w:rsidRPr="00C0237A">
              <w:rPr>
                <w:rFonts w:ascii="Times New Roman" w:hAnsi="Times New Roman"/>
              </w:rPr>
              <w:t xml:space="preserve">An amendment (effective January 1, 2019) to the Real Estate License Act of 2000 makes uniform the application process for real estate business entities. </w:t>
            </w:r>
            <w:r w:rsidRPr="00C0237A">
              <w:rPr>
                <w:rFonts w:ascii="Times New Roman" w:hAnsi="Times New Roman"/>
                <w:color w:val="211D1E"/>
              </w:rPr>
              <w:t>A corporation, partnership, or limited liability company (LLC) may receive a bro</w:t>
            </w:r>
            <w:r w:rsidRPr="00C0237A">
              <w:rPr>
                <w:rFonts w:ascii="Times New Roman" w:hAnsi="Times New Roman"/>
                <w:color w:val="211D1E"/>
              </w:rPr>
              <w:softHyphen/>
              <w:t>ker’s license under the following conditions:</w:t>
            </w:r>
          </w:p>
          <w:p w:rsidR="003D5E8E" w:rsidRPr="00C0237A" w:rsidRDefault="003D5E8E" w:rsidP="003D5E8E">
            <w:pPr>
              <w:tabs>
                <w:tab w:val="left" w:pos="1800"/>
              </w:tabs>
              <w:autoSpaceDE w:val="0"/>
              <w:autoSpaceDN w:val="0"/>
              <w:adjustRightInd w:val="0"/>
              <w:rPr>
                <w:rFonts w:ascii="Times New Roman" w:hAnsi="Times New Roman"/>
              </w:rPr>
            </w:pPr>
          </w:p>
        </w:tc>
      </w:tr>
      <w:tr w:rsidR="003D5E8E" w:rsidRPr="00C14E09" w:rsidTr="00BE158D">
        <w:trPr>
          <w:trHeight w:val="150"/>
          <w:jc w:val="center"/>
        </w:trPr>
        <w:tc>
          <w:tcPr>
            <w:tcW w:w="3439" w:type="dxa"/>
          </w:tcPr>
          <w:p w:rsidR="003D5E8E" w:rsidRPr="00C14E09" w:rsidRDefault="003D5E8E" w:rsidP="00BE158D">
            <w:pPr>
              <w:tabs>
                <w:tab w:val="left" w:pos="1800"/>
              </w:tabs>
              <w:autoSpaceDE w:val="0"/>
              <w:autoSpaceDN w:val="0"/>
              <w:adjustRightInd w:val="0"/>
              <w:rPr>
                <w:rFonts w:ascii="Times New Roman" w:hAnsi="Times New Roman"/>
              </w:rPr>
            </w:pPr>
            <w:r>
              <w:rPr>
                <w:rFonts w:ascii="Times New Roman" w:hAnsi="Times New Roman"/>
              </w:rPr>
              <w:t>255</w:t>
            </w:r>
          </w:p>
        </w:tc>
        <w:tc>
          <w:tcPr>
            <w:tcW w:w="3280" w:type="dxa"/>
          </w:tcPr>
          <w:p w:rsidR="003D5E8E" w:rsidRPr="003D5E8E" w:rsidRDefault="003D5E8E" w:rsidP="003D5E8E">
            <w:pPr>
              <w:autoSpaceDE w:val="0"/>
              <w:autoSpaceDN w:val="0"/>
              <w:adjustRightInd w:val="0"/>
              <w:rPr>
                <w:rFonts w:ascii="Times New Roman" w:hAnsi="Times New Roman"/>
                <w:color w:val="000000"/>
              </w:rPr>
            </w:pPr>
          </w:p>
          <w:p w:rsidR="003D5E8E" w:rsidRPr="003D5E8E" w:rsidRDefault="003D5E8E" w:rsidP="003D5E8E">
            <w:pPr>
              <w:autoSpaceDE w:val="0"/>
              <w:autoSpaceDN w:val="0"/>
              <w:adjustRightInd w:val="0"/>
              <w:rPr>
                <w:rFonts w:ascii="Times New Roman" w:hAnsi="Times New Roman"/>
              </w:rPr>
            </w:pPr>
          </w:p>
          <w:p w:rsidR="003D5E8E" w:rsidRPr="003D5E8E" w:rsidRDefault="003D5E8E" w:rsidP="003D5E8E">
            <w:pPr>
              <w:autoSpaceDE w:val="0"/>
              <w:autoSpaceDN w:val="0"/>
              <w:adjustRightInd w:val="0"/>
              <w:rPr>
                <w:rFonts w:ascii="Times New Roman" w:hAnsi="Times New Roman"/>
                <w:color w:val="211D1E"/>
              </w:rPr>
            </w:pPr>
            <w:r w:rsidRPr="003D5E8E">
              <w:rPr>
                <w:rFonts w:ascii="Times New Roman" w:hAnsi="Times New Roman"/>
                <w:color w:val="211D1E"/>
              </w:rPr>
              <w:t xml:space="preserve">In a </w:t>
            </w:r>
            <w:r w:rsidRPr="003D5E8E">
              <w:rPr>
                <w:rFonts w:ascii="Times New Roman" w:hAnsi="Times New Roman"/>
                <w:i/>
                <w:iCs/>
                <w:color w:val="211D1E"/>
              </w:rPr>
              <w:t>corporation</w:t>
            </w:r>
            <w:r w:rsidRPr="003D5E8E">
              <w:rPr>
                <w:rFonts w:ascii="Times New Roman" w:hAnsi="Times New Roman"/>
                <w:color w:val="211D1E"/>
              </w:rPr>
              <w:t xml:space="preserve">, every corporate officer who actively participates in the organization’s real estate activities must hold a managing broker license or a broker license. In addition, every employee of the corporation who acts as a licensee on the corporation’s behalf also must hold a license as a real estate broker, managing broker, or leasing agent. </w:t>
            </w:r>
          </w:p>
          <w:p w:rsidR="003D5E8E" w:rsidRPr="00C0237A" w:rsidRDefault="003D5E8E" w:rsidP="00BE158D">
            <w:pPr>
              <w:tabs>
                <w:tab w:val="left" w:pos="1800"/>
              </w:tabs>
              <w:autoSpaceDE w:val="0"/>
              <w:autoSpaceDN w:val="0"/>
              <w:adjustRightInd w:val="0"/>
              <w:rPr>
                <w:rFonts w:ascii="Times New Roman" w:hAnsi="Times New Roman"/>
              </w:rPr>
            </w:pPr>
          </w:p>
        </w:tc>
        <w:tc>
          <w:tcPr>
            <w:tcW w:w="3359" w:type="dxa"/>
          </w:tcPr>
          <w:p w:rsidR="003D5E8E" w:rsidRPr="00C0237A" w:rsidRDefault="003D5E8E" w:rsidP="00BE158D">
            <w:pPr>
              <w:tabs>
                <w:tab w:val="left" w:pos="1800"/>
              </w:tabs>
              <w:autoSpaceDE w:val="0"/>
              <w:autoSpaceDN w:val="0"/>
              <w:adjustRightInd w:val="0"/>
              <w:rPr>
                <w:rFonts w:ascii="Times New Roman" w:hAnsi="Times New Roman"/>
              </w:rPr>
            </w:pPr>
            <w:r w:rsidRPr="00C0237A">
              <w:rPr>
                <w:rFonts w:ascii="Times New Roman" w:hAnsi="Times New Roman"/>
                <w:color w:val="000000"/>
              </w:rPr>
              <w:t>Principals who engage in licensed activities must obtain individual licenses.</w:t>
            </w:r>
          </w:p>
        </w:tc>
      </w:tr>
      <w:tr w:rsidR="003D5E8E" w:rsidRPr="00C14E09" w:rsidTr="00BD3507">
        <w:trPr>
          <w:trHeight w:val="150"/>
          <w:jc w:val="center"/>
        </w:trPr>
        <w:tc>
          <w:tcPr>
            <w:tcW w:w="3439" w:type="dxa"/>
          </w:tcPr>
          <w:p w:rsidR="003D5E8E" w:rsidRPr="00C14E09" w:rsidRDefault="003D5E8E" w:rsidP="00B261C9">
            <w:pPr>
              <w:tabs>
                <w:tab w:val="left" w:pos="1800"/>
              </w:tabs>
              <w:autoSpaceDE w:val="0"/>
              <w:autoSpaceDN w:val="0"/>
              <w:adjustRightInd w:val="0"/>
              <w:rPr>
                <w:rFonts w:ascii="Times New Roman" w:hAnsi="Times New Roman"/>
              </w:rPr>
            </w:pPr>
            <w:r>
              <w:rPr>
                <w:rFonts w:ascii="Times New Roman" w:hAnsi="Times New Roman"/>
              </w:rPr>
              <w:t>255</w:t>
            </w:r>
          </w:p>
        </w:tc>
        <w:tc>
          <w:tcPr>
            <w:tcW w:w="3280" w:type="dxa"/>
          </w:tcPr>
          <w:p w:rsidR="003D5E8E" w:rsidRPr="003D5E8E" w:rsidRDefault="003D5E8E" w:rsidP="003D5E8E">
            <w:pPr>
              <w:autoSpaceDE w:val="0"/>
              <w:autoSpaceDN w:val="0"/>
              <w:adjustRightInd w:val="0"/>
              <w:rPr>
                <w:rFonts w:ascii="Times New Roman" w:hAnsi="Times New Roman"/>
                <w:color w:val="000000"/>
              </w:rPr>
            </w:pPr>
          </w:p>
          <w:p w:rsidR="003D5E8E" w:rsidRPr="003D5E8E" w:rsidRDefault="003D5E8E" w:rsidP="003D5E8E">
            <w:pPr>
              <w:autoSpaceDE w:val="0"/>
              <w:autoSpaceDN w:val="0"/>
              <w:adjustRightInd w:val="0"/>
              <w:rPr>
                <w:rFonts w:ascii="Times New Roman" w:hAnsi="Times New Roman"/>
              </w:rPr>
            </w:pPr>
          </w:p>
          <w:p w:rsidR="003D5E8E" w:rsidRPr="003D5E8E" w:rsidRDefault="003D5E8E" w:rsidP="003D5E8E">
            <w:pPr>
              <w:autoSpaceDE w:val="0"/>
              <w:autoSpaceDN w:val="0"/>
              <w:adjustRightInd w:val="0"/>
              <w:rPr>
                <w:rFonts w:ascii="Times New Roman" w:hAnsi="Times New Roman"/>
                <w:color w:val="211D1E"/>
              </w:rPr>
            </w:pPr>
            <w:r w:rsidRPr="003D5E8E">
              <w:rPr>
                <w:rFonts w:ascii="Times New Roman" w:hAnsi="Times New Roman"/>
                <w:color w:val="211D1E"/>
              </w:rPr>
              <w:t xml:space="preserve">In a </w:t>
            </w:r>
            <w:r w:rsidRPr="003D5E8E">
              <w:rPr>
                <w:rFonts w:ascii="Times New Roman" w:hAnsi="Times New Roman"/>
                <w:i/>
                <w:iCs/>
                <w:color w:val="211D1E"/>
              </w:rPr>
              <w:t>partnership</w:t>
            </w:r>
            <w:r w:rsidRPr="003D5E8E">
              <w:rPr>
                <w:rFonts w:ascii="Times New Roman" w:hAnsi="Times New Roman"/>
                <w:color w:val="211D1E"/>
              </w:rPr>
              <w:t xml:space="preserve">, every general partner must hold a broker or </w:t>
            </w:r>
            <w:r w:rsidRPr="003D5E8E">
              <w:rPr>
                <w:rFonts w:ascii="Times New Roman" w:hAnsi="Times New Roman"/>
                <w:color w:val="211D1E"/>
              </w:rPr>
              <w:lastRenderedPageBreak/>
              <w:t xml:space="preserve">managing broker license. Every employee of the partnership who acts as a licensee on the partnership’s behalf also must hold a license as a real estate broker, managing broker, or leasing agent. </w:t>
            </w:r>
          </w:p>
          <w:p w:rsidR="003D5E8E" w:rsidRPr="00C0237A" w:rsidRDefault="003D5E8E" w:rsidP="00574932">
            <w:pPr>
              <w:tabs>
                <w:tab w:val="left" w:pos="1800"/>
              </w:tabs>
              <w:autoSpaceDE w:val="0"/>
              <w:autoSpaceDN w:val="0"/>
              <w:adjustRightInd w:val="0"/>
              <w:rPr>
                <w:rFonts w:ascii="Times New Roman" w:hAnsi="Times New Roman"/>
                <w:color w:val="221E1F"/>
              </w:rPr>
            </w:pPr>
          </w:p>
        </w:tc>
        <w:tc>
          <w:tcPr>
            <w:tcW w:w="3359" w:type="dxa"/>
          </w:tcPr>
          <w:p w:rsidR="003D5E8E" w:rsidRPr="00C0237A" w:rsidRDefault="003D5E8E" w:rsidP="003D5E8E">
            <w:pPr>
              <w:autoSpaceDE w:val="0"/>
              <w:autoSpaceDN w:val="0"/>
              <w:adjustRightInd w:val="0"/>
              <w:rPr>
                <w:rFonts w:ascii="Times New Roman" w:hAnsi="Times New Roman"/>
                <w:color w:val="000000"/>
              </w:rPr>
            </w:pPr>
            <w:r w:rsidRPr="00C0237A">
              <w:rPr>
                <w:rFonts w:ascii="Times New Roman" w:hAnsi="Times New Roman"/>
                <w:color w:val="000000"/>
              </w:rPr>
              <w:lastRenderedPageBreak/>
              <w:t xml:space="preserve">Business entities with principals who do not perform licensed activities are required </w:t>
            </w:r>
            <w:r w:rsidRPr="00C0237A">
              <w:rPr>
                <w:rFonts w:ascii="Times New Roman" w:hAnsi="Times New Roman"/>
                <w:color w:val="000000"/>
              </w:rPr>
              <w:lastRenderedPageBreak/>
              <w:t>to complete affidavits of non-participation.</w:t>
            </w:r>
          </w:p>
          <w:p w:rsidR="003D5E8E" w:rsidRPr="00C0237A" w:rsidRDefault="003D5E8E" w:rsidP="00574932">
            <w:pPr>
              <w:tabs>
                <w:tab w:val="left" w:pos="1800"/>
              </w:tabs>
              <w:autoSpaceDE w:val="0"/>
              <w:autoSpaceDN w:val="0"/>
              <w:adjustRightInd w:val="0"/>
              <w:rPr>
                <w:rFonts w:ascii="Times New Roman" w:hAnsi="Times New Roman"/>
                <w:color w:val="221E1F"/>
              </w:rPr>
            </w:pPr>
          </w:p>
          <w:p w:rsidR="003D5E8E" w:rsidRPr="00C0237A" w:rsidRDefault="003D5E8E" w:rsidP="003D5E8E">
            <w:pPr>
              <w:rPr>
                <w:rFonts w:ascii="Times New Roman" w:hAnsi="Times New Roman"/>
              </w:rPr>
            </w:pPr>
          </w:p>
          <w:p w:rsidR="003D5E8E" w:rsidRPr="00C0237A" w:rsidRDefault="003D5E8E" w:rsidP="003D5E8E">
            <w:pPr>
              <w:rPr>
                <w:rFonts w:ascii="Times New Roman" w:hAnsi="Times New Roman"/>
              </w:rPr>
            </w:pPr>
          </w:p>
          <w:p w:rsidR="003D5E8E" w:rsidRPr="00C0237A" w:rsidRDefault="003D5E8E" w:rsidP="003D5E8E">
            <w:pPr>
              <w:rPr>
                <w:rFonts w:ascii="Times New Roman" w:hAnsi="Times New Roman"/>
              </w:rPr>
            </w:pPr>
          </w:p>
          <w:p w:rsidR="003D5E8E" w:rsidRPr="00C0237A" w:rsidRDefault="003D5E8E" w:rsidP="003D5E8E">
            <w:pPr>
              <w:rPr>
                <w:rFonts w:ascii="Times New Roman" w:hAnsi="Times New Roman"/>
              </w:rPr>
            </w:pPr>
          </w:p>
          <w:p w:rsidR="003D5E8E" w:rsidRPr="00C0237A" w:rsidRDefault="003D5E8E" w:rsidP="003D5E8E">
            <w:pPr>
              <w:jc w:val="center"/>
              <w:rPr>
                <w:rFonts w:ascii="Times New Roman" w:hAnsi="Times New Roman"/>
              </w:rPr>
            </w:pPr>
          </w:p>
        </w:tc>
      </w:tr>
      <w:tr w:rsidR="003D5E8E" w:rsidRPr="00C14E09" w:rsidTr="00BD3507">
        <w:trPr>
          <w:trHeight w:val="150"/>
          <w:jc w:val="center"/>
        </w:trPr>
        <w:tc>
          <w:tcPr>
            <w:tcW w:w="3439" w:type="dxa"/>
          </w:tcPr>
          <w:p w:rsidR="003D5E8E" w:rsidRPr="00C14E09" w:rsidRDefault="003D5E8E" w:rsidP="00B261C9">
            <w:pPr>
              <w:tabs>
                <w:tab w:val="left" w:pos="1800"/>
              </w:tabs>
              <w:autoSpaceDE w:val="0"/>
              <w:autoSpaceDN w:val="0"/>
              <w:adjustRightInd w:val="0"/>
              <w:rPr>
                <w:rFonts w:ascii="Times New Roman" w:hAnsi="Times New Roman"/>
              </w:rPr>
            </w:pPr>
            <w:r>
              <w:rPr>
                <w:rFonts w:ascii="Times New Roman" w:hAnsi="Times New Roman"/>
              </w:rPr>
              <w:lastRenderedPageBreak/>
              <w:t>256</w:t>
            </w:r>
          </w:p>
        </w:tc>
        <w:tc>
          <w:tcPr>
            <w:tcW w:w="3280" w:type="dxa"/>
          </w:tcPr>
          <w:p w:rsidR="003D5E8E" w:rsidRPr="003D5E8E" w:rsidRDefault="003D5E8E" w:rsidP="003D5E8E">
            <w:pPr>
              <w:autoSpaceDE w:val="0"/>
              <w:autoSpaceDN w:val="0"/>
              <w:adjustRightInd w:val="0"/>
              <w:rPr>
                <w:rFonts w:ascii="Times New Roman" w:hAnsi="Times New Roman"/>
                <w:color w:val="000000"/>
              </w:rPr>
            </w:pPr>
          </w:p>
          <w:p w:rsidR="003D5E8E" w:rsidRPr="003D5E8E" w:rsidRDefault="003D5E8E" w:rsidP="003D5E8E">
            <w:pPr>
              <w:autoSpaceDE w:val="0"/>
              <w:autoSpaceDN w:val="0"/>
              <w:adjustRightInd w:val="0"/>
              <w:rPr>
                <w:rFonts w:ascii="Times New Roman" w:hAnsi="Times New Roman"/>
              </w:rPr>
            </w:pPr>
          </w:p>
          <w:p w:rsidR="003D5E8E" w:rsidRPr="003D5E8E" w:rsidRDefault="003D5E8E" w:rsidP="003D5E8E">
            <w:pPr>
              <w:autoSpaceDE w:val="0"/>
              <w:autoSpaceDN w:val="0"/>
              <w:adjustRightInd w:val="0"/>
              <w:rPr>
                <w:rFonts w:ascii="Times New Roman" w:hAnsi="Times New Roman"/>
                <w:color w:val="211D1E"/>
              </w:rPr>
            </w:pPr>
            <w:r w:rsidRPr="003D5E8E">
              <w:rPr>
                <w:rFonts w:ascii="Times New Roman" w:hAnsi="Times New Roman"/>
                <w:color w:val="211D1E"/>
              </w:rPr>
              <w:t xml:space="preserve">In a </w:t>
            </w:r>
            <w:r w:rsidRPr="003D5E8E">
              <w:rPr>
                <w:rFonts w:ascii="Times New Roman" w:hAnsi="Times New Roman"/>
                <w:i/>
                <w:iCs/>
                <w:color w:val="211D1E"/>
              </w:rPr>
              <w:t xml:space="preserve">limited liability company (LLC) </w:t>
            </w:r>
            <w:r w:rsidRPr="003D5E8E">
              <w:rPr>
                <w:rFonts w:ascii="Times New Roman" w:hAnsi="Times New Roman"/>
                <w:color w:val="211D1E"/>
              </w:rPr>
              <w:t xml:space="preserve">or </w:t>
            </w:r>
            <w:r w:rsidRPr="003D5E8E">
              <w:rPr>
                <w:rFonts w:ascii="Times New Roman" w:hAnsi="Times New Roman"/>
                <w:i/>
                <w:iCs/>
                <w:color w:val="211D1E"/>
              </w:rPr>
              <w:t>limited liability partnership (LLP)</w:t>
            </w:r>
            <w:r w:rsidRPr="003D5E8E">
              <w:rPr>
                <w:rFonts w:ascii="Times New Roman" w:hAnsi="Times New Roman"/>
                <w:color w:val="211D1E"/>
              </w:rPr>
              <w:t xml:space="preserve">, every manager must hold a broker or managing broker’s license. Additionally, every employee of the LLC/LLP who acts as a licensee on the LLC/LLP’s behalf also must hold a license as a broker, managing broker, or leasing agent. </w:t>
            </w:r>
          </w:p>
          <w:p w:rsidR="003D5E8E" w:rsidRPr="00C0237A" w:rsidRDefault="003D5E8E" w:rsidP="00574932">
            <w:pPr>
              <w:tabs>
                <w:tab w:val="left" w:pos="1800"/>
              </w:tabs>
              <w:autoSpaceDE w:val="0"/>
              <w:autoSpaceDN w:val="0"/>
              <w:adjustRightInd w:val="0"/>
              <w:rPr>
                <w:rFonts w:ascii="Times New Roman" w:hAnsi="Times New Roman"/>
                <w:color w:val="221E1F"/>
              </w:rPr>
            </w:pPr>
          </w:p>
        </w:tc>
        <w:tc>
          <w:tcPr>
            <w:tcW w:w="3359" w:type="dxa"/>
          </w:tcPr>
          <w:p w:rsidR="003D5E8E" w:rsidRPr="00C0237A" w:rsidRDefault="003D5E8E" w:rsidP="00942287">
            <w:pPr>
              <w:tabs>
                <w:tab w:val="left" w:pos="1800"/>
              </w:tabs>
              <w:autoSpaceDE w:val="0"/>
              <w:autoSpaceDN w:val="0"/>
              <w:adjustRightInd w:val="0"/>
              <w:rPr>
                <w:rFonts w:ascii="Times New Roman" w:hAnsi="Times New Roman"/>
                <w:color w:val="221E1F"/>
              </w:rPr>
            </w:pPr>
            <w:r w:rsidRPr="00C0237A">
              <w:rPr>
                <w:rFonts w:ascii="Times New Roman" w:hAnsi="Times New Roman"/>
                <w:color w:val="000000"/>
              </w:rPr>
              <w:t>Nonparticipating owners or officers of a corporation, partners of a partnership, limited liability partners of a limited liability partnership, or members or managers of a limited liability company must submit affidavits of nonparticipation to the Department of Real Estate.</w:t>
            </w:r>
          </w:p>
        </w:tc>
      </w:tr>
      <w:tr w:rsidR="00973C21" w:rsidRPr="00C14E09" w:rsidTr="00BD3507">
        <w:trPr>
          <w:trHeight w:val="150"/>
          <w:jc w:val="center"/>
        </w:trPr>
        <w:tc>
          <w:tcPr>
            <w:tcW w:w="3439" w:type="dxa"/>
          </w:tcPr>
          <w:p w:rsidR="00973C21" w:rsidRDefault="00973C21" w:rsidP="00B261C9">
            <w:pPr>
              <w:tabs>
                <w:tab w:val="left" w:pos="1800"/>
              </w:tabs>
              <w:autoSpaceDE w:val="0"/>
              <w:autoSpaceDN w:val="0"/>
              <w:adjustRightInd w:val="0"/>
              <w:rPr>
                <w:rFonts w:ascii="Times New Roman" w:hAnsi="Times New Roman"/>
              </w:rPr>
            </w:pPr>
            <w:r>
              <w:rPr>
                <w:rFonts w:ascii="Times New Roman" w:hAnsi="Times New Roman"/>
              </w:rPr>
              <w:t>263</w:t>
            </w:r>
          </w:p>
        </w:tc>
        <w:tc>
          <w:tcPr>
            <w:tcW w:w="3280" w:type="dxa"/>
          </w:tcPr>
          <w:p w:rsidR="00973C21" w:rsidRPr="003D5E8E" w:rsidRDefault="00973C21" w:rsidP="003D5E8E">
            <w:pPr>
              <w:autoSpaceDE w:val="0"/>
              <w:autoSpaceDN w:val="0"/>
              <w:adjustRightInd w:val="0"/>
              <w:rPr>
                <w:rFonts w:ascii="Times New Roman" w:hAnsi="Times New Roman"/>
                <w:color w:val="000000"/>
              </w:rPr>
            </w:pPr>
            <w:r w:rsidRPr="00973C21">
              <w:rPr>
                <w:rFonts w:ascii="Times New Roman" w:hAnsi="Times New Roman"/>
                <w:color w:val="000000"/>
              </w:rPr>
              <w:t>No partnership, limited liability company, or corporation shall be licensed to conduct a brokerage business where an individual broker or leasing agent, or group of brokers or leasing agents owns or directly or indirectly controls more than 49% of the shares of stock or other ownership in the partnership, limited liability company, or corporation.</w:t>
            </w:r>
          </w:p>
        </w:tc>
        <w:tc>
          <w:tcPr>
            <w:tcW w:w="3359" w:type="dxa"/>
          </w:tcPr>
          <w:p w:rsidR="00973C21" w:rsidRPr="00C0237A" w:rsidRDefault="00973C21" w:rsidP="00574932">
            <w:pPr>
              <w:tabs>
                <w:tab w:val="left" w:pos="1800"/>
              </w:tabs>
              <w:autoSpaceDE w:val="0"/>
              <w:autoSpaceDN w:val="0"/>
              <w:adjustRightInd w:val="0"/>
              <w:rPr>
                <w:rFonts w:ascii="Times New Roman" w:hAnsi="Times New Roman"/>
                <w:color w:val="211D1E"/>
              </w:rPr>
            </w:pPr>
            <w:r w:rsidRPr="00973C21">
              <w:rPr>
                <w:rFonts w:ascii="Times New Roman" w:hAnsi="Times New Roman"/>
                <w:color w:val="211D1E"/>
              </w:rPr>
              <w:t>No partnership, limited liability company, or corporation shall be licensed to conduct a brokerage business where an indivi</w:t>
            </w:r>
            <w:r>
              <w:rPr>
                <w:rFonts w:ascii="Times New Roman" w:hAnsi="Times New Roman"/>
                <w:color w:val="211D1E"/>
              </w:rPr>
              <w:t xml:space="preserve">dual </w:t>
            </w:r>
            <w:r w:rsidRPr="00973C21">
              <w:rPr>
                <w:rFonts w:ascii="Times New Roman" w:hAnsi="Times New Roman"/>
                <w:color w:val="211D1E"/>
              </w:rPr>
              <w:t>leasin</w:t>
            </w:r>
            <w:r>
              <w:rPr>
                <w:rFonts w:ascii="Times New Roman" w:hAnsi="Times New Roman"/>
                <w:color w:val="211D1E"/>
              </w:rPr>
              <w:t xml:space="preserve">g agent, or group of </w:t>
            </w:r>
            <w:r w:rsidRPr="00973C21">
              <w:rPr>
                <w:rFonts w:ascii="Times New Roman" w:hAnsi="Times New Roman"/>
                <w:color w:val="211D1E"/>
              </w:rPr>
              <w:t>leasing agents owns or directly or indirectly controls more than 49% of the shares of stock or other ownership in the partnership, limited liability company, or corporation.</w:t>
            </w:r>
          </w:p>
        </w:tc>
      </w:tr>
      <w:tr w:rsidR="003D5E8E" w:rsidRPr="00C14E09" w:rsidTr="00BD3507">
        <w:trPr>
          <w:trHeight w:val="150"/>
          <w:jc w:val="center"/>
        </w:trPr>
        <w:tc>
          <w:tcPr>
            <w:tcW w:w="3439" w:type="dxa"/>
          </w:tcPr>
          <w:p w:rsidR="003D5E8E" w:rsidRPr="00C14E09" w:rsidRDefault="00A23AD7" w:rsidP="00B261C9">
            <w:pPr>
              <w:tabs>
                <w:tab w:val="left" w:pos="1800"/>
              </w:tabs>
              <w:autoSpaceDE w:val="0"/>
              <w:autoSpaceDN w:val="0"/>
              <w:adjustRightInd w:val="0"/>
              <w:rPr>
                <w:rFonts w:ascii="Times New Roman" w:hAnsi="Times New Roman"/>
              </w:rPr>
            </w:pPr>
            <w:r>
              <w:rPr>
                <w:rFonts w:ascii="Times New Roman" w:hAnsi="Times New Roman"/>
              </w:rPr>
              <w:t>263</w:t>
            </w:r>
          </w:p>
        </w:tc>
        <w:tc>
          <w:tcPr>
            <w:tcW w:w="3280" w:type="dxa"/>
          </w:tcPr>
          <w:p w:rsidR="003D5E8E" w:rsidRPr="003D5E8E" w:rsidRDefault="003D5E8E" w:rsidP="003D5E8E">
            <w:pPr>
              <w:autoSpaceDE w:val="0"/>
              <w:autoSpaceDN w:val="0"/>
              <w:adjustRightInd w:val="0"/>
              <w:rPr>
                <w:rFonts w:ascii="Times New Roman" w:hAnsi="Times New Roman"/>
                <w:color w:val="000000"/>
              </w:rPr>
            </w:pPr>
          </w:p>
          <w:p w:rsidR="003D5E8E" w:rsidRPr="00C0237A" w:rsidRDefault="003D5E8E" w:rsidP="003D5E8E">
            <w:pPr>
              <w:tabs>
                <w:tab w:val="left" w:pos="1800"/>
              </w:tabs>
              <w:autoSpaceDE w:val="0"/>
              <w:autoSpaceDN w:val="0"/>
              <w:adjustRightInd w:val="0"/>
              <w:rPr>
                <w:rFonts w:ascii="Times New Roman" w:hAnsi="Times New Roman"/>
              </w:rPr>
            </w:pPr>
            <w:r w:rsidRPr="00C0237A">
              <w:rPr>
                <w:rFonts w:ascii="Times New Roman" w:hAnsi="Times New Roman"/>
                <w:color w:val="211D1E"/>
              </w:rPr>
              <w:t xml:space="preserve">Any sponsoring broker who wants to establish branch offices must apply for a </w:t>
            </w:r>
            <w:r w:rsidRPr="00C0237A">
              <w:rPr>
                <w:rFonts w:ascii="Times New Roman" w:hAnsi="Times New Roman"/>
                <w:b/>
                <w:bCs/>
                <w:color w:val="211D1E"/>
              </w:rPr>
              <w:t xml:space="preserve">branch office license </w:t>
            </w:r>
            <w:r w:rsidRPr="00C0237A">
              <w:rPr>
                <w:rFonts w:ascii="Times New Roman" w:hAnsi="Times New Roman"/>
                <w:color w:val="211D1E"/>
              </w:rPr>
              <w:t>for each branch office maintained.</w:t>
            </w:r>
          </w:p>
        </w:tc>
        <w:tc>
          <w:tcPr>
            <w:tcW w:w="3359" w:type="dxa"/>
          </w:tcPr>
          <w:p w:rsidR="003D5E8E" w:rsidRPr="00C0237A" w:rsidRDefault="003D5E8E" w:rsidP="00574932">
            <w:pPr>
              <w:tabs>
                <w:tab w:val="left" w:pos="1800"/>
              </w:tabs>
              <w:autoSpaceDE w:val="0"/>
              <w:autoSpaceDN w:val="0"/>
              <w:adjustRightInd w:val="0"/>
              <w:rPr>
                <w:rFonts w:ascii="Times New Roman" w:hAnsi="Times New Roman"/>
              </w:rPr>
            </w:pPr>
            <w:r w:rsidRPr="00C0237A">
              <w:rPr>
                <w:rFonts w:ascii="Times New Roman" w:hAnsi="Times New Roman"/>
                <w:color w:val="211D1E"/>
              </w:rPr>
              <w:t xml:space="preserve">Any sponsoring broker who wants to establish </w:t>
            </w:r>
            <w:r w:rsidRPr="00C0237A">
              <w:rPr>
                <w:rFonts w:ascii="Times New Roman" w:hAnsi="Times New Roman"/>
                <w:color w:val="000000"/>
              </w:rPr>
              <w:t xml:space="preserve">a branch office must notify the Department </w:t>
            </w:r>
            <w:r w:rsidR="00552537">
              <w:rPr>
                <w:rFonts w:ascii="Times New Roman" w:hAnsi="Times New Roman"/>
                <w:color w:val="000000"/>
              </w:rPr>
              <w:t xml:space="preserve">of Real Estate for each office </w:t>
            </w:r>
            <w:r w:rsidRPr="00C0237A">
              <w:rPr>
                <w:rFonts w:ascii="Times New Roman" w:hAnsi="Times New Roman"/>
                <w:color w:val="000000"/>
              </w:rPr>
              <w:t>other than the sponsoring broker's principal place of business.</w:t>
            </w:r>
          </w:p>
        </w:tc>
      </w:tr>
      <w:tr w:rsidR="003D5E8E" w:rsidRPr="00C14E09" w:rsidTr="00BE158D">
        <w:trPr>
          <w:trHeight w:val="150"/>
          <w:jc w:val="center"/>
        </w:trPr>
        <w:tc>
          <w:tcPr>
            <w:tcW w:w="3439" w:type="dxa"/>
          </w:tcPr>
          <w:p w:rsidR="003D5E8E" w:rsidRPr="00C14E09" w:rsidRDefault="00A23AD7" w:rsidP="00BE158D">
            <w:pPr>
              <w:tabs>
                <w:tab w:val="left" w:pos="1800"/>
              </w:tabs>
              <w:autoSpaceDE w:val="0"/>
              <w:autoSpaceDN w:val="0"/>
              <w:adjustRightInd w:val="0"/>
              <w:rPr>
                <w:rFonts w:ascii="Times New Roman" w:hAnsi="Times New Roman"/>
              </w:rPr>
            </w:pPr>
            <w:r>
              <w:rPr>
                <w:rFonts w:ascii="Times New Roman" w:hAnsi="Times New Roman"/>
              </w:rPr>
              <w:t>263</w:t>
            </w:r>
          </w:p>
        </w:tc>
        <w:tc>
          <w:tcPr>
            <w:tcW w:w="3280" w:type="dxa"/>
          </w:tcPr>
          <w:p w:rsidR="00A23AD7" w:rsidRPr="00A23AD7" w:rsidRDefault="00A23AD7" w:rsidP="00A23AD7">
            <w:pPr>
              <w:autoSpaceDE w:val="0"/>
              <w:autoSpaceDN w:val="0"/>
              <w:adjustRightInd w:val="0"/>
              <w:rPr>
                <w:rFonts w:ascii="Times New Roman" w:hAnsi="Times New Roman"/>
                <w:color w:val="000000"/>
              </w:rPr>
            </w:pPr>
          </w:p>
          <w:p w:rsidR="003D5E8E" w:rsidRPr="00C0237A" w:rsidRDefault="00A23AD7" w:rsidP="00A23AD7">
            <w:pPr>
              <w:tabs>
                <w:tab w:val="left" w:pos="1800"/>
              </w:tabs>
              <w:autoSpaceDE w:val="0"/>
              <w:autoSpaceDN w:val="0"/>
              <w:adjustRightInd w:val="0"/>
              <w:rPr>
                <w:rFonts w:ascii="Times New Roman" w:hAnsi="Times New Roman"/>
              </w:rPr>
            </w:pPr>
            <w:r w:rsidRPr="00C0237A">
              <w:rPr>
                <w:rFonts w:ascii="Times New Roman" w:hAnsi="Times New Roman"/>
                <w:color w:val="211D1E"/>
              </w:rPr>
              <w:t xml:space="preserve">The managing broker, who must be a licensed Illinois </w:t>
            </w:r>
            <w:r w:rsidRPr="00C0237A">
              <w:rPr>
                <w:rFonts w:ascii="Times New Roman" w:hAnsi="Times New Roman"/>
                <w:color w:val="211D1E"/>
              </w:rPr>
              <w:lastRenderedPageBreak/>
              <w:t>managing broker, oversees the branch’s operations.</w:t>
            </w:r>
          </w:p>
        </w:tc>
        <w:tc>
          <w:tcPr>
            <w:tcW w:w="3359" w:type="dxa"/>
          </w:tcPr>
          <w:p w:rsidR="00A23AD7" w:rsidRPr="00C0237A" w:rsidRDefault="00A23AD7" w:rsidP="00A23AD7">
            <w:pPr>
              <w:pStyle w:val="Default"/>
              <w:rPr>
                <w:rFonts w:ascii="Times New Roman" w:hAnsi="Times New Roman"/>
              </w:rPr>
            </w:pPr>
          </w:p>
          <w:p w:rsidR="003D5E8E" w:rsidRPr="00C0237A" w:rsidRDefault="00A23AD7" w:rsidP="00A23AD7">
            <w:pPr>
              <w:tabs>
                <w:tab w:val="left" w:pos="1800"/>
              </w:tabs>
              <w:autoSpaceDE w:val="0"/>
              <w:autoSpaceDN w:val="0"/>
              <w:adjustRightInd w:val="0"/>
              <w:rPr>
                <w:rFonts w:ascii="Times New Roman" w:hAnsi="Times New Roman"/>
              </w:rPr>
            </w:pPr>
            <w:r w:rsidRPr="00C0237A">
              <w:rPr>
                <w:rFonts w:ascii="Times New Roman" w:hAnsi="Times New Roman"/>
                <w:color w:val="211D1E"/>
              </w:rPr>
              <w:t xml:space="preserve">The managing broker, who must be a licensed Illinois </w:t>
            </w:r>
            <w:r w:rsidRPr="00C0237A">
              <w:rPr>
                <w:rFonts w:ascii="Times New Roman" w:hAnsi="Times New Roman"/>
                <w:color w:val="211D1E"/>
              </w:rPr>
              <w:lastRenderedPageBreak/>
              <w:t>managing broker, oversees the branch’s operations.</w:t>
            </w:r>
            <w:r w:rsidRPr="00C0237A">
              <w:rPr>
                <w:rFonts w:ascii="Times New Roman" w:hAnsi="Times New Roman"/>
                <w:color w:val="000000"/>
              </w:rPr>
              <w:t xml:space="preserve"> A separate branch office license is not required as of January 1, 2019.</w:t>
            </w:r>
          </w:p>
        </w:tc>
      </w:tr>
      <w:tr w:rsidR="003D5E8E" w:rsidRPr="00C14E09" w:rsidTr="00BE158D">
        <w:trPr>
          <w:trHeight w:val="150"/>
          <w:jc w:val="center"/>
        </w:trPr>
        <w:tc>
          <w:tcPr>
            <w:tcW w:w="3439" w:type="dxa"/>
          </w:tcPr>
          <w:p w:rsidR="003D5E8E" w:rsidRPr="00C14E09" w:rsidRDefault="00A23AD7" w:rsidP="00BE158D">
            <w:pPr>
              <w:tabs>
                <w:tab w:val="left" w:pos="1800"/>
              </w:tabs>
              <w:autoSpaceDE w:val="0"/>
              <w:autoSpaceDN w:val="0"/>
              <w:adjustRightInd w:val="0"/>
              <w:rPr>
                <w:rFonts w:ascii="Times New Roman" w:hAnsi="Times New Roman"/>
              </w:rPr>
            </w:pPr>
            <w:r>
              <w:rPr>
                <w:rFonts w:ascii="Times New Roman" w:hAnsi="Times New Roman"/>
              </w:rPr>
              <w:lastRenderedPageBreak/>
              <w:t>323</w:t>
            </w:r>
          </w:p>
        </w:tc>
        <w:tc>
          <w:tcPr>
            <w:tcW w:w="3280" w:type="dxa"/>
          </w:tcPr>
          <w:p w:rsidR="00A23AD7" w:rsidRPr="00A23AD7" w:rsidRDefault="00A23AD7" w:rsidP="00A23AD7">
            <w:pPr>
              <w:autoSpaceDE w:val="0"/>
              <w:autoSpaceDN w:val="0"/>
              <w:adjustRightInd w:val="0"/>
              <w:rPr>
                <w:rFonts w:ascii="Times New Roman" w:hAnsi="Times New Roman"/>
                <w:color w:val="000000"/>
              </w:rPr>
            </w:pPr>
          </w:p>
          <w:p w:rsidR="003D5E8E" w:rsidRPr="00C0237A" w:rsidRDefault="00A23AD7" w:rsidP="00A23AD7">
            <w:pPr>
              <w:tabs>
                <w:tab w:val="left" w:pos="1800"/>
              </w:tabs>
              <w:autoSpaceDE w:val="0"/>
              <w:autoSpaceDN w:val="0"/>
              <w:adjustRightInd w:val="0"/>
              <w:rPr>
                <w:rFonts w:ascii="Times New Roman" w:hAnsi="Times New Roman"/>
              </w:rPr>
            </w:pPr>
            <w:r w:rsidRPr="00C0237A">
              <w:rPr>
                <w:rFonts w:ascii="Times New Roman" w:hAnsi="Times New Roman"/>
                <w:color w:val="211D1E"/>
              </w:rPr>
              <w:t>A landlord has the option of considering an estate at sufferance as being a willful withholding of possession, in which case the landlord is entitled to charge double rent.</w:t>
            </w:r>
          </w:p>
        </w:tc>
        <w:tc>
          <w:tcPr>
            <w:tcW w:w="3359" w:type="dxa"/>
          </w:tcPr>
          <w:p w:rsidR="003D5E8E" w:rsidRPr="00C0237A" w:rsidRDefault="00A23AD7" w:rsidP="00BE158D">
            <w:pPr>
              <w:tabs>
                <w:tab w:val="left" w:pos="1800"/>
              </w:tabs>
              <w:autoSpaceDE w:val="0"/>
              <w:autoSpaceDN w:val="0"/>
              <w:adjustRightInd w:val="0"/>
              <w:rPr>
                <w:rFonts w:ascii="Times New Roman" w:hAnsi="Times New Roman"/>
              </w:rPr>
            </w:pPr>
            <w:r w:rsidRPr="00C0237A">
              <w:rPr>
                <w:rFonts w:ascii="Times New Roman" w:hAnsi="Times New Roman"/>
                <w:color w:val="000000"/>
              </w:rPr>
              <w:t>Under Illinois law, a tenancy at sufferance arises when a tenant remains in possession after the term of the lease expires. A landlord has a choice to evict the tenant as a trespasser or treat the tenant as a holdover tenant. If treating the tenant as a holdover tenant, the landlord is entitled to charge double rent (735 ILCS 5/9-202).  Note that the word "entitled" is key. The landlord is entitled to seek double the rent through civil action.</w:t>
            </w:r>
          </w:p>
        </w:tc>
      </w:tr>
      <w:tr w:rsidR="000942A6" w:rsidRPr="00C14E09" w:rsidTr="00BE158D">
        <w:trPr>
          <w:trHeight w:val="150"/>
          <w:jc w:val="center"/>
        </w:trPr>
        <w:tc>
          <w:tcPr>
            <w:tcW w:w="3439" w:type="dxa"/>
          </w:tcPr>
          <w:p w:rsidR="000942A6" w:rsidRDefault="000942A6" w:rsidP="00BE158D">
            <w:pPr>
              <w:tabs>
                <w:tab w:val="left" w:pos="1800"/>
              </w:tabs>
              <w:autoSpaceDE w:val="0"/>
              <w:autoSpaceDN w:val="0"/>
              <w:adjustRightInd w:val="0"/>
              <w:rPr>
                <w:rFonts w:ascii="Times New Roman" w:hAnsi="Times New Roman"/>
              </w:rPr>
            </w:pPr>
            <w:r>
              <w:rPr>
                <w:rFonts w:ascii="Times New Roman" w:hAnsi="Times New Roman"/>
              </w:rPr>
              <w:t>347</w:t>
            </w:r>
          </w:p>
        </w:tc>
        <w:tc>
          <w:tcPr>
            <w:tcW w:w="3280" w:type="dxa"/>
          </w:tcPr>
          <w:p w:rsidR="000942A6" w:rsidRDefault="000942A6" w:rsidP="00A23AD7">
            <w:pPr>
              <w:autoSpaceDE w:val="0"/>
              <w:autoSpaceDN w:val="0"/>
              <w:adjustRightInd w:val="0"/>
              <w:rPr>
                <w:rFonts w:ascii="Times New Roman" w:hAnsi="Times New Roman"/>
                <w:color w:val="000000"/>
              </w:rPr>
            </w:pPr>
          </w:p>
        </w:tc>
        <w:tc>
          <w:tcPr>
            <w:tcW w:w="3359" w:type="dxa"/>
          </w:tcPr>
          <w:p w:rsidR="000942A6" w:rsidRDefault="000942A6" w:rsidP="0048424A">
            <w:pPr>
              <w:tabs>
                <w:tab w:val="left" w:pos="1800"/>
              </w:tabs>
              <w:autoSpaceDE w:val="0"/>
              <w:autoSpaceDN w:val="0"/>
              <w:adjustRightInd w:val="0"/>
              <w:rPr>
                <w:rFonts w:ascii="Times New Roman" w:hAnsi="Times New Roman"/>
                <w:color w:val="000000"/>
              </w:rPr>
            </w:pPr>
            <w:r>
              <w:rPr>
                <w:rFonts w:ascii="Times New Roman" w:hAnsi="Times New Roman"/>
                <w:color w:val="000000"/>
              </w:rPr>
              <w:t>[Margin note]</w:t>
            </w:r>
          </w:p>
          <w:p w:rsidR="000942A6" w:rsidRDefault="000942A6" w:rsidP="0048424A">
            <w:pPr>
              <w:tabs>
                <w:tab w:val="left" w:pos="1800"/>
              </w:tabs>
              <w:autoSpaceDE w:val="0"/>
              <w:autoSpaceDN w:val="0"/>
              <w:adjustRightInd w:val="0"/>
              <w:rPr>
                <w:rFonts w:ascii="Times New Roman" w:hAnsi="Times New Roman"/>
                <w:color w:val="000000"/>
              </w:rPr>
            </w:pPr>
            <w:r w:rsidRPr="000942A6">
              <w:rPr>
                <w:rFonts w:ascii="Times New Roman" w:hAnsi="Times New Roman"/>
                <w:color w:val="000000"/>
              </w:rPr>
              <w:t>An individual business entity with a broker license can assist the public in sales or leasing transactions involving all types of real property. However, only a managing broker license allows someone to supervise or sponsor other licensees and to collect compensation for brokerage services. Unlike brokers and managing brokers, leasing agents can only engage in activities directly associated with residential leasing. Leasing agents cannot perform these activities if the property being leased is commercial property.</w:t>
            </w:r>
          </w:p>
        </w:tc>
      </w:tr>
      <w:tr w:rsidR="000942A6" w:rsidRPr="00C14E09" w:rsidTr="00BE158D">
        <w:trPr>
          <w:trHeight w:val="150"/>
          <w:jc w:val="center"/>
        </w:trPr>
        <w:tc>
          <w:tcPr>
            <w:tcW w:w="3439" w:type="dxa"/>
          </w:tcPr>
          <w:p w:rsidR="000942A6" w:rsidRDefault="000942A6" w:rsidP="00BE158D">
            <w:pPr>
              <w:tabs>
                <w:tab w:val="left" w:pos="1800"/>
              </w:tabs>
              <w:autoSpaceDE w:val="0"/>
              <w:autoSpaceDN w:val="0"/>
              <w:adjustRightInd w:val="0"/>
              <w:rPr>
                <w:rFonts w:ascii="Times New Roman" w:hAnsi="Times New Roman"/>
              </w:rPr>
            </w:pPr>
            <w:r>
              <w:rPr>
                <w:rFonts w:ascii="Times New Roman" w:hAnsi="Times New Roman"/>
              </w:rPr>
              <w:t>391, 3</w:t>
            </w:r>
            <w:r w:rsidRPr="000942A6">
              <w:rPr>
                <w:rFonts w:ascii="Times New Roman" w:hAnsi="Times New Roman"/>
                <w:vertAlign w:val="superscript"/>
              </w:rPr>
              <w:t>rd</w:t>
            </w:r>
            <w:r>
              <w:rPr>
                <w:rFonts w:ascii="Times New Roman" w:hAnsi="Times New Roman"/>
              </w:rPr>
              <w:t xml:space="preserve"> paragraph</w:t>
            </w:r>
          </w:p>
        </w:tc>
        <w:tc>
          <w:tcPr>
            <w:tcW w:w="3280" w:type="dxa"/>
          </w:tcPr>
          <w:p w:rsidR="000942A6" w:rsidRDefault="000942A6" w:rsidP="00A23AD7">
            <w:pPr>
              <w:autoSpaceDE w:val="0"/>
              <w:autoSpaceDN w:val="0"/>
              <w:adjustRightInd w:val="0"/>
              <w:rPr>
                <w:rFonts w:ascii="Times New Roman" w:hAnsi="Times New Roman"/>
                <w:color w:val="000000"/>
              </w:rPr>
            </w:pPr>
            <w:r>
              <w:rPr>
                <w:rFonts w:ascii="Times New Roman" w:hAnsi="Times New Roman"/>
                <w:color w:val="000000"/>
              </w:rPr>
              <w:t>[End of the paragraph]</w:t>
            </w:r>
          </w:p>
        </w:tc>
        <w:tc>
          <w:tcPr>
            <w:tcW w:w="3359" w:type="dxa"/>
          </w:tcPr>
          <w:p w:rsidR="000942A6" w:rsidRDefault="000942A6" w:rsidP="0048424A">
            <w:pPr>
              <w:tabs>
                <w:tab w:val="left" w:pos="1800"/>
              </w:tabs>
              <w:autoSpaceDE w:val="0"/>
              <w:autoSpaceDN w:val="0"/>
              <w:adjustRightInd w:val="0"/>
              <w:rPr>
                <w:rFonts w:ascii="Times New Roman" w:hAnsi="Times New Roman"/>
                <w:color w:val="000000"/>
              </w:rPr>
            </w:pPr>
            <w:r w:rsidRPr="000942A6">
              <w:rPr>
                <w:rFonts w:ascii="Times New Roman" w:hAnsi="Times New Roman"/>
                <w:color w:val="000000"/>
              </w:rPr>
              <w:t>NOTE: The Land Sales registration Act was repealed in 2018.</w:t>
            </w:r>
            <w:bookmarkStart w:id="0" w:name="_GoBack"/>
            <w:bookmarkEnd w:id="0"/>
          </w:p>
        </w:tc>
      </w:tr>
      <w:tr w:rsidR="0048424A" w:rsidRPr="00C14E09" w:rsidTr="00BE158D">
        <w:trPr>
          <w:trHeight w:val="150"/>
          <w:jc w:val="center"/>
        </w:trPr>
        <w:tc>
          <w:tcPr>
            <w:tcW w:w="3439" w:type="dxa"/>
          </w:tcPr>
          <w:p w:rsidR="0048424A" w:rsidRDefault="0048424A" w:rsidP="00BE158D">
            <w:pPr>
              <w:tabs>
                <w:tab w:val="left" w:pos="1800"/>
              </w:tabs>
              <w:autoSpaceDE w:val="0"/>
              <w:autoSpaceDN w:val="0"/>
              <w:adjustRightInd w:val="0"/>
              <w:rPr>
                <w:rFonts w:ascii="Times New Roman" w:hAnsi="Times New Roman"/>
              </w:rPr>
            </w:pPr>
            <w:r>
              <w:rPr>
                <w:rFonts w:ascii="Times New Roman" w:hAnsi="Times New Roman"/>
              </w:rPr>
              <w:t>417</w:t>
            </w:r>
          </w:p>
        </w:tc>
        <w:tc>
          <w:tcPr>
            <w:tcW w:w="3280" w:type="dxa"/>
          </w:tcPr>
          <w:p w:rsidR="0048424A" w:rsidRPr="00A23AD7" w:rsidRDefault="0048424A" w:rsidP="00A23AD7">
            <w:pPr>
              <w:autoSpaceDE w:val="0"/>
              <w:autoSpaceDN w:val="0"/>
              <w:adjustRightInd w:val="0"/>
              <w:rPr>
                <w:rFonts w:ascii="Times New Roman" w:hAnsi="Times New Roman"/>
                <w:color w:val="000000"/>
              </w:rPr>
            </w:pPr>
            <w:r>
              <w:rPr>
                <w:rFonts w:ascii="Times New Roman" w:hAnsi="Times New Roman"/>
                <w:color w:val="000000"/>
              </w:rPr>
              <w:t xml:space="preserve">In 2008, for example, a Boston property management company agreed to pay a $28,000 penalty and spend nearly $290,000 to replace </w:t>
            </w:r>
            <w:r>
              <w:rPr>
                <w:rFonts w:ascii="Times New Roman" w:hAnsi="Times New Roman"/>
                <w:color w:val="000000"/>
              </w:rPr>
              <w:lastRenderedPageBreak/>
              <w:t>windows containing lead-based paint. In 2009, a large, nonprofit corporation that develops, finances, and manages affordable, mixed-income housing and nearly two dozen associated property owners agreed to pay a $200,000 penalty and to spend more than $2 million in lead paint abatement at their residential properties.</w:t>
            </w:r>
          </w:p>
        </w:tc>
        <w:tc>
          <w:tcPr>
            <w:tcW w:w="3359" w:type="dxa"/>
          </w:tcPr>
          <w:p w:rsidR="0048424A" w:rsidRPr="00C0237A" w:rsidRDefault="0048424A" w:rsidP="0048424A">
            <w:pPr>
              <w:tabs>
                <w:tab w:val="left" w:pos="1800"/>
              </w:tabs>
              <w:autoSpaceDE w:val="0"/>
              <w:autoSpaceDN w:val="0"/>
              <w:adjustRightInd w:val="0"/>
              <w:rPr>
                <w:rFonts w:ascii="Times New Roman" w:hAnsi="Times New Roman"/>
                <w:color w:val="000000"/>
              </w:rPr>
            </w:pPr>
            <w:r>
              <w:rPr>
                <w:rFonts w:ascii="Times New Roman" w:hAnsi="Times New Roman"/>
                <w:color w:val="000000"/>
              </w:rPr>
              <w:lastRenderedPageBreak/>
              <w:t xml:space="preserve">For example, a Boston property management company agreed to pay a $28,000 penalty and spend nearly $290,000 to replace windows containing </w:t>
            </w:r>
            <w:r>
              <w:rPr>
                <w:rFonts w:ascii="Times New Roman" w:hAnsi="Times New Roman"/>
                <w:color w:val="000000"/>
              </w:rPr>
              <w:lastRenderedPageBreak/>
              <w:t>lead-based paint. A year later, a large, nonprofit corporation that develops, finances, and manages affordable, mixed-income housing and nearly two dozen associated property owners agreed to pay a $200,000 penalty and to spend more than $2 million in lead paint abatement at their residential properties.</w:t>
            </w:r>
          </w:p>
        </w:tc>
      </w:tr>
      <w:tr w:rsidR="003D5E8E" w:rsidRPr="00C14E09" w:rsidTr="00BE158D">
        <w:trPr>
          <w:trHeight w:val="150"/>
          <w:jc w:val="center"/>
        </w:trPr>
        <w:tc>
          <w:tcPr>
            <w:tcW w:w="3439" w:type="dxa"/>
          </w:tcPr>
          <w:p w:rsidR="003D5E8E" w:rsidRPr="00C14E09" w:rsidRDefault="00A23AD7" w:rsidP="00BE158D">
            <w:pPr>
              <w:tabs>
                <w:tab w:val="left" w:pos="1800"/>
              </w:tabs>
              <w:autoSpaceDE w:val="0"/>
              <w:autoSpaceDN w:val="0"/>
              <w:adjustRightInd w:val="0"/>
              <w:rPr>
                <w:rFonts w:ascii="Times New Roman" w:hAnsi="Times New Roman"/>
              </w:rPr>
            </w:pPr>
            <w:r>
              <w:rPr>
                <w:rFonts w:ascii="Times New Roman" w:hAnsi="Times New Roman"/>
              </w:rPr>
              <w:lastRenderedPageBreak/>
              <w:t>457</w:t>
            </w:r>
          </w:p>
        </w:tc>
        <w:tc>
          <w:tcPr>
            <w:tcW w:w="3280" w:type="dxa"/>
          </w:tcPr>
          <w:p w:rsidR="00A23AD7" w:rsidRPr="00A23AD7" w:rsidRDefault="00A23AD7" w:rsidP="00A23AD7">
            <w:pPr>
              <w:autoSpaceDE w:val="0"/>
              <w:autoSpaceDN w:val="0"/>
              <w:adjustRightInd w:val="0"/>
              <w:rPr>
                <w:rFonts w:ascii="Times New Roman" w:hAnsi="Times New Roman"/>
                <w:color w:val="000000"/>
              </w:rPr>
            </w:pPr>
          </w:p>
          <w:p w:rsidR="003D5E8E" w:rsidRPr="00C0237A" w:rsidRDefault="00A23AD7" w:rsidP="00A23AD7">
            <w:pPr>
              <w:tabs>
                <w:tab w:val="left" w:pos="1800"/>
              </w:tabs>
              <w:autoSpaceDE w:val="0"/>
              <w:autoSpaceDN w:val="0"/>
              <w:adjustRightInd w:val="0"/>
              <w:rPr>
                <w:rFonts w:ascii="Times New Roman" w:hAnsi="Times New Roman"/>
              </w:rPr>
            </w:pPr>
            <w:r w:rsidRPr="00C0237A">
              <w:rPr>
                <w:rFonts w:ascii="Times New Roman" w:hAnsi="Times New Roman"/>
                <w:color w:val="211D1E"/>
              </w:rPr>
              <w:t>Most real estate contracts in Illinois require that the seller furnish a current survey to the buyer. As a result, the expense of preparing a survey usually is borne by the seller.</w:t>
            </w:r>
          </w:p>
        </w:tc>
        <w:tc>
          <w:tcPr>
            <w:tcW w:w="3359" w:type="dxa"/>
          </w:tcPr>
          <w:p w:rsidR="003D5E8E" w:rsidRPr="00C0237A" w:rsidRDefault="00A23AD7" w:rsidP="00BE158D">
            <w:pPr>
              <w:tabs>
                <w:tab w:val="left" w:pos="1800"/>
              </w:tabs>
              <w:autoSpaceDE w:val="0"/>
              <w:autoSpaceDN w:val="0"/>
              <w:adjustRightInd w:val="0"/>
              <w:rPr>
                <w:rFonts w:ascii="Times New Roman" w:hAnsi="Times New Roman"/>
              </w:rPr>
            </w:pPr>
            <w:r w:rsidRPr="00C0237A">
              <w:rPr>
                <w:rFonts w:ascii="Times New Roman" w:hAnsi="Times New Roman"/>
                <w:color w:val="000000"/>
              </w:rPr>
              <w:t>Normally, there is no formal survey done in property sales. Instead, the dimensions, boundaries, etc. are taken from the deed. If the buyer needs a survey for some reason (e.g. if it's a large lot, and the mortgage company wants a survey as well as an appraisal), the buyer would pay or it is negotiated at the time of the contract.</w:t>
            </w:r>
          </w:p>
        </w:tc>
      </w:tr>
      <w:tr w:rsidR="003D5E8E" w:rsidRPr="00C14E09" w:rsidTr="00BE158D">
        <w:trPr>
          <w:trHeight w:val="150"/>
          <w:jc w:val="center"/>
        </w:trPr>
        <w:tc>
          <w:tcPr>
            <w:tcW w:w="3439" w:type="dxa"/>
          </w:tcPr>
          <w:p w:rsidR="003D5E8E" w:rsidRPr="00C14E09" w:rsidRDefault="00A23AD7" w:rsidP="00BE158D">
            <w:pPr>
              <w:tabs>
                <w:tab w:val="left" w:pos="1800"/>
              </w:tabs>
              <w:autoSpaceDE w:val="0"/>
              <w:autoSpaceDN w:val="0"/>
              <w:adjustRightInd w:val="0"/>
              <w:rPr>
                <w:rFonts w:ascii="Times New Roman" w:hAnsi="Times New Roman"/>
              </w:rPr>
            </w:pPr>
            <w:r>
              <w:rPr>
                <w:rFonts w:ascii="Times New Roman" w:hAnsi="Times New Roman"/>
              </w:rPr>
              <w:t>462</w:t>
            </w:r>
          </w:p>
        </w:tc>
        <w:tc>
          <w:tcPr>
            <w:tcW w:w="3280" w:type="dxa"/>
          </w:tcPr>
          <w:p w:rsidR="00A23AD7" w:rsidRPr="00A23AD7" w:rsidRDefault="00A23AD7" w:rsidP="00A23AD7">
            <w:pPr>
              <w:autoSpaceDE w:val="0"/>
              <w:autoSpaceDN w:val="0"/>
              <w:adjustRightInd w:val="0"/>
              <w:rPr>
                <w:rFonts w:ascii="Times New Roman" w:hAnsi="Times New Roman"/>
                <w:color w:val="000000"/>
              </w:rPr>
            </w:pPr>
          </w:p>
          <w:p w:rsidR="003D5E8E" w:rsidRPr="00C0237A" w:rsidRDefault="00A23AD7" w:rsidP="00A23AD7">
            <w:pPr>
              <w:tabs>
                <w:tab w:val="left" w:pos="1800"/>
              </w:tabs>
              <w:autoSpaceDE w:val="0"/>
              <w:autoSpaceDN w:val="0"/>
              <w:adjustRightInd w:val="0"/>
              <w:rPr>
                <w:rFonts w:ascii="Times New Roman" w:hAnsi="Times New Roman"/>
              </w:rPr>
            </w:pPr>
            <w:r w:rsidRPr="00C0237A">
              <w:rPr>
                <w:rFonts w:ascii="Times New Roman" w:hAnsi="Times New Roman"/>
                <w:color w:val="211D1E"/>
              </w:rPr>
              <w:t>State and county transfer taxes are usually paid by the seller, who also customarily pays for the survey and the owner’s title insurance policy.</w:t>
            </w:r>
          </w:p>
        </w:tc>
        <w:tc>
          <w:tcPr>
            <w:tcW w:w="3359" w:type="dxa"/>
          </w:tcPr>
          <w:p w:rsidR="00A23AD7" w:rsidRPr="00A23AD7" w:rsidRDefault="00A23AD7" w:rsidP="00A23AD7">
            <w:pPr>
              <w:autoSpaceDE w:val="0"/>
              <w:autoSpaceDN w:val="0"/>
              <w:adjustRightInd w:val="0"/>
              <w:rPr>
                <w:rFonts w:ascii="Times New Roman" w:hAnsi="Times New Roman"/>
                <w:color w:val="000000"/>
              </w:rPr>
            </w:pPr>
          </w:p>
          <w:p w:rsidR="003D5E8E" w:rsidRPr="00C0237A" w:rsidRDefault="00A23AD7" w:rsidP="00A23AD7">
            <w:pPr>
              <w:tabs>
                <w:tab w:val="left" w:pos="1800"/>
              </w:tabs>
              <w:autoSpaceDE w:val="0"/>
              <w:autoSpaceDN w:val="0"/>
              <w:adjustRightInd w:val="0"/>
              <w:rPr>
                <w:rFonts w:ascii="Times New Roman" w:hAnsi="Times New Roman"/>
              </w:rPr>
            </w:pPr>
            <w:r w:rsidRPr="00C0237A">
              <w:rPr>
                <w:rFonts w:ascii="Times New Roman" w:hAnsi="Times New Roman"/>
                <w:color w:val="211D1E"/>
              </w:rPr>
              <w:t>State and county transfer taxes are usually paid by the seller, who also customarily pays for the owner’s title insurance policy.</w:t>
            </w:r>
          </w:p>
        </w:tc>
      </w:tr>
    </w:tbl>
    <w:p w:rsidR="00173F59" w:rsidRDefault="00173F59" w:rsidP="00B261C9">
      <w:pPr>
        <w:tabs>
          <w:tab w:val="left" w:pos="1800"/>
        </w:tabs>
        <w:autoSpaceDE w:val="0"/>
        <w:autoSpaceDN w:val="0"/>
        <w:adjustRightInd w:val="0"/>
        <w:rPr>
          <w:rFonts w:ascii="Times New Roman" w:hAnsi="Times New Roman"/>
        </w:rPr>
      </w:pPr>
    </w:p>
    <w:p w:rsidR="00B84900" w:rsidRPr="007C0232" w:rsidRDefault="00B84900" w:rsidP="00B261C9">
      <w:pPr>
        <w:tabs>
          <w:tab w:val="left" w:pos="1800"/>
        </w:tabs>
        <w:autoSpaceDE w:val="0"/>
        <w:autoSpaceDN w:val="0"/>
        <w:adjustRightInd w:val="0"/>
        <w:rPr>
          <w:rFonts w:ascii="Times New Roman" w:hAnsi="Times New Roman"/>
        </w:rPr>
      </w:pPr>
    </w:p>
    <w:sectPr w:rsidR="00B84900"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17A" w:rsidRDefault="0044117A">
      <w:r>
        <w:separator/>
      </w:r>
    </w:p>
  </w:endnote>
  <w:endnote w:type="continuationSeparator" w:id="0">
    <w:p w:rsidR="0044117A" w:rsidRDefault="0044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17A" w:rsidRDefault="0044117A">
      <w:r>
        <w:separator/>
      </w:r>
    </w:p>
  </w:footnote>
  <w:footnote w:type="continuationSeparator" w:id="0">
    <w:p w:rsidR="0044117A" w:rsidRDefault="00441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C5241E" w:rsidP="0094174A">
    <w:pPr>
      <w:pStyle w:val="Header"/>
      <w:jc w:val="right"/>
      <w:rPr>
        <w:rFonts w:ascii="Arial" w:hAnsi="Arial" w:cs="Arial"/>
        <w:i/>
        <w:sz w:val="20"/>
        <w:szCs w:val="20"/>
      </w:rPr>
    </w:pPr>
    <w:r>
      <w:rPr>
        <w:rFonts w:ascii="Arial" w:hAnsi="Arial" w:cs="Arial"/>
        <w:i/>
        <w:sz w:val="20"/>
        <w:szCs w:val="20"/>
      </w:rPr>
      <w:t>Modern Real Estate Practice in Illinois, Ninth Edition</w:t>
    </w:r>
    <w:r w:rsidR="00DC73E7">
      <w:rPr>
        <w:rFonts w:ascii="Arial" w:hAnsi="Arial" w:cs="Arial"/>
        <w:i/>
        <w:sz w:val="20"/>
        <w:szCs w:val="20"/>
      </w:rPr>
      <w:t xml:space="preserve"> Update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42A6"/>
    <w:rsid w:val="00097E04"/>
    <w:rsid w:val="000D144B"/>
    <w:rsid w:val="001159C0"/>
    <w:rsid w:val="0016648A"/>
    <w:rsid w:val="00173F59"/>
    <w:rsid w:val="001B1E7E"/>
    <w:rsid w:val="002B00B8"/>
    <w:rsid w:val="003D4AB7"/>
    <w:rsid w:val="003D5E8E"/>
    <w:rsid w:val="003F134C"/>
    <w:rsid w:val="00400649"/>
    <w:rsid w:val="00414AE1"/>
    <w:rsid w:val="0044117A"/>
    <w:rsid w:val="0044429C"/>
    <w:rsid w:val="0048424A"/>
    <w:rsid w:val="004A05EC"/>
    <w:rsid w:val="004B1997"/>
    <w:rsid w:val="004F1FBD"/>
    <w:rsid w:val="00552537"/>
    <w:rsid w:val="00574932"/>
    <w:rsid w:val="005B5AB5"/>
    <w:rsid w:val="006217A0"/>
    <w:rsid w:val="0068025B"/>
    <w:rsid w:val="00697B7B"/>
    <w:rsid w:val="00705BF4"/>
    <w:rsid w:val="007214B0"/>
    <w:rsid w:val="007C0232"/>
    <w:rsid w:val="00927FB5"/>
    <w:rsid w:val="00932A9C"/>
    <w:rsid w:val="0094174A"/>
    <w:rsid w:val="00942287"/>
    <w:rsid w:val="00973C21"/>
    <w:rsid w:val="0099521C"/>
    <w:rsid w:val="00A23AD7"/>
    <w:rsid w:val="00A54C6C"/>
    <w:rsid w:val="00A9787B"/>
    <w:rsid w:val="00AB5671"/>
    <w:rsid w:val="00AD6786"/>
    <w:rsid w:val="00AF33C8"/>
    <w:rsid w:val="00B261C9"/>
    <w:rsid w:val="00B4617B"/>
    <w:rsid w:val="00B84900"/>
    <w:rsid w:val="00BD3507"/>
    <w:rsid w:val="00C0237A"/>
    <w:rsid w:val="00C14E09"/>
    <w:rsid w:val="00C5241E"/>
    <w:rsid w:val="00CA4B0D"/>
    <w:rsid w:val="00D15438"/>
    <w:rsid w:val="00D70BAC"/>
    <w:rsid w:val="00D815DC"/>
    <w:rsid w:val="00DC73E7"/>
    <w:rsid w:val="00DE2E72"/>
    <w:rsid w:val="00E04CE3"/>
    <w:rsid w:val="00E76CEE"/>
    <w:rsid w:val="00E9614D"/>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8D63C"/>
  <w15:docId w15:val="{6DB07D21-63A8-4FE9-9A35-552753E3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00"/>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Rosita Hernandez</cp:lastModifiedBy>
  <cp:revision>4</cp:revision>
  <cp:lastPrinted>2006-08-18T16:15:00Z</cp:lastPrinted>
  <dcterms:created xsi:type="dcterms:W3CDTF">2019-03-06T18:46:00Z</dcterms:created>
  <dcterms:modified xsi:type="dcterms:W3CDTF">2019-03-22T15:47:00Z</dcterms:modified>
</cp:coreProperties>
</file>