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0D" w:rsidRPr="0094174A" w:rsidRDefault="00966E1C" w:rsidP="0094174A">
      <w:pPr>
        <w:jc w:val="center"/>
        <w:rPr>
          <w:rFonts w:ascii="Arial" w:hAnsi="Arial" w:cs="Arial"/>
          <w:b/>
          <w:sz w:val="32"/>
          <w:szCs w:val="32"/>
        </w:rPr>
      </w:pPr>
      <w:r>
        <w:rPr>
          <w:rFonts w:ascii="Arial" w:hAnsi="Arial" w:cs="Arial"/>
          <w:b/>
          <w:sz w:val="32"/>
          <w:szCs w:val="32"/>
        </w:rPr>
        <w:t>Errata</w:t>
      </w:r>
    </w:p>
    <w:p w:rsidR="00F26E0D" w:rsidRDefault="00F26E0D" w:rsidP="00173F59">
      <w:pPr>
        <w:rPr>
          <w:rFonts w:ascii="Times New Roman" w:hAnsi="Times New Roman"/>
        </w:rPr>
      </w:pPr>
    </w:p>
    <w:p w:rsidR="00F26E0D" w:rsidRPr="007C0232" w:rsidRDefault="00F26E0D" w:rsidP="00173F59">
      <w:pPr>
        <w:rPr>
          <w:rFonts w:ascii="Times New Roman" w:hAnsi="Times New Roman"/>
        </w:rPr>
      </w:pPr>
    </w:p>
    <w:p w:rsidR="00F26E0D" w:rsidRPr="007C0232" w:rsidRDefault="00F26E0D"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Pr>
          <w:rFonts w:ascii="Times New Roman" w:hAnsi="Times New Roman"/>
          <w:i/>
        </w:rPr>
        <w:t>Modern Real Estate</w:t>
      </w:r>
      <w:r w:rsidR="00472A2B">
        <w:rPr>
          <w:rFonts w:ascii="Times New Roman" w:hAnsi="Times New Roman"/>
          <w:i/>
        </w:rPr>
        <w:t xml:space="preserve"> Practice in North Carolina Nin</w:t>
      </w:r>
      <w:r>
        <w:rPr>
          <w:rFonts w:ascii="Times New Roman" w:hAnsi="Times New Roman"/>
          <w:i/>
        </w:rPr>
        <w:t>th Edition</w:t>
      </w:r>
      <w:r>
        <w:rPr>
          <w:rFonts w:ascii="Times New Roman" w:hAnsi="Times New Roman"/>
        </w:rPr>
        <w:t>.</w:t>
      </w:r>
      <w:r w:rsidRPr="007C0232">
        <w:rPr>
          <w:rFonts w:ascii="Times New Roman" w:hAnsi="Times New Roman"/>
        </w:rPr>
        <w:t xml:space="preserve"> </w:t>
      </w:r>
    </w:p>
    <w:p w:rsidR="00F26E0D" w:rsidRDefault="00F26E0D" w:rsidP="00173F59">
      <w:pPr>
        <w:tabs>
          <w:tab w:val="left" w:pos="1800"/>
        </w:tabs>
        <w:autoSpaceDE w:val="0"/>
        <w:autoSpaceDN w:val="0"/>
        <w:adjustRightInd w:val="0"/>
        <w:rPr>
          <w:rFonts w:ascii="Times New Roman" w:hAnsi="Times New Roman"/>
          <w:b/>
        </w:rPr>
      </w:pPr>
    </w:p>
    <w:p w:rsidR="00503D95" w:rsidRDefault="00503D95" w:rsidP="00503D95">
      <w:pPr>
        <w:tabs>
          <w:tab w:val="left" w:pos="1800"/>
        </w:tabs>
        <w:autoSpaceDE w:val="0"/>
        <w:autoSpaceDN w:val="0"/>
        <w:adjustRightInd w:val="0"/>
        <w:rPr>
          <w:rFonts w:ascii="Times New Roman" w:hAnsi="Times New Roman"/>
        </w:rPr>
      </w:pPr>
      <w:r>
        <w:rPr>
          <w:rFonts w:ascii="Times New Roman" w:hAnsi="Times New Roman"/>
        </w:rPr>
        <w:t xml:space="preserve">To use this document, you will need to know which revision of the book you have. The revision </w:t>
      </w:r>
      <w:proofErr w:type="gramStart"/>
      <w:r>
        <w:rPr>
          <w:rFonts w:ascii="Times New Roman" w:hAnsi="Times New Roman"/>
        </w:rPr>
        <w:t>is indicated</w:t>
      </w:r>
      <w:proofErr w:type="gramEnd"/>
      <w:r>
        <w:rPr>
          <w:rFonts w:ascii="Times New Roman" w:hAnsi="Times New Roman"/>
        </w:rPr>
        <w:t xml:space="preserve"> on the copyright page, which is on the second page of the book.</w:t>
      </w:r>
    </w:p>
    <w:p w:rsidR="00503D95" w:rsidRDefault="00503D95" w:rsidP="00503D95">
      <w:pPr>
        <w:tabs>
          <w:tab w:val="left" w:pos="1800"/>
        </w:tabs>
        <w:autoSpaceDE w:val="0"/>
        <w:autoSpaceDN w:val="0"/>
        <w:adjustRightInd w:val="0"/>
        <w:rPr>
          <w:rFonts w:ascii="Times New Roman" w:hAnsi="Times New Roman"/>
        </w:rPr>
      </w:pPr>
    </w:p>
    <w:p w:rsidR="00503D95" w:rsidRPr="00D00B2E" w:rsidRDefault="00503D95" w:rsidP="00503D95">
      <w:pPr>
        <w:tabs>
          <w:tab w:val="left" w:pos="1800"/>
        </w:tabs>
        <w:autoSpaceDE w:val="0"/>
        <w:autoSpaceDN w:val="0"/>
        <w:adjustRightInd w:val="0"/>
        <w:rPr>
          <w:rFonts w:ascii="Times New Roman" w:hAnsi="Times New Roman"/>
        </w:rPr>
      </w:pPr>
      <w:r>
        <w:rPr>
          <w:noProof/>
        </w:rPr>
        <w:drawing>
          <wp:inline distT="0" distB="0" distL="0" distR="0" wp14:anchorId="037173CF" wp14:editId="32746FB7">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503D95" w:rsidRDefault="00503D95" w:rsidP="00173F59">
      <w:pPr>
        <w:tabs>
          <w:tab w:val="left" w:pos="1800"/>
        </w:tabs>
        <w:autoSpaceDE w:val="0"/>
        <w:autoSpaceDN w:val="0"/>
        <w:adjustRightInd w:val="0"/>
        <w:rPr>
          <w:rFonts w:ascii="Times New Roman" w:hAnsi="Times New Roman"/>
          <w:b/>
        </w:rPr>
      </w:pPr>
    </w:p>
    <w:p w:rsidR="00F26E0D" w:rsidRPr="007C0232" w:rsidRDefault="00F26E0D" w:rsidP="00173F59">
      <w:pPr>
        <w:tabs>
          <w:tab w:val="left" w:pos="1800"/>
        </w:tabs>
        <w:autoSpaceDE w:val="0"/>
        <w:autoSpaceDN w:val="0"/>
        <w:adjustRightInd w:val="0"/>
        <w:rPr>
          <w:rFonts w:ascii="Times New Roman" w:hAnsi="Times New Roman"/>
          <w:b/>
        </w:rPr>
      </w:pP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3206"/>
        <w:gridCol w:w="3284"/>
      </w:tblGrid>
      <w:tr w:rsidR="00F26E0D" w:rsidRPr="001A2DEE" w:rsidTr="00754355">
        <w:trPr>
          <w:trHeight w:val="701"/>
          <w:jc w:val="center"/>
        </w:trPr>
        <w:tc>
          <w:tcPr>
            <w:tcW w:w="3445" w:type="dxa"/>
            <w:shd w:val="clear" w:color="auto" w:fill="CCFFCC"/>
          </w:tcPr>
          <w:p w:rsidR="00F26E0D" w:rsidRPr="001A2DEE" w:rsidRDefault="00F26E0D" w:rsidP="001A2DEE">
            <w:pPr>
              <w:pStyle w:val="Heading1"/>
              <w:jc w:val="center"/>
              <w:rPr>
                <w:rFonts w:ascii="Times New Roman" w:hAnsi="Times New Roman"/>
              </w:rPr>
            </w:pPr>
            <w:r w:rsidRPr="001A2DEE">
              <w:rPr>
                <w:rFonts w:ascii="Times New Roman" w:hAnsi="Times New Roman"/>
              </w:rPr>
              <w:t>Page/Location</w:t>
            </w:r>
          </w:p>
        </w:tc>
        <w:tc>
          <w:tcPr>
            <w:tcW w:w="3283" w:type="dxa"/>
            <w:shd w:val="clear" w:color="auto" w:fill="CCFFCC"/>
          </w:tcPr>
          <w:p w:rsidR="00F26E0D" w:rsidRPr="00754355" w:rsidRDefault="00F26E0D" w:rsidP="001A2DEE">
            <w:pPr>
              <w:pStyle w:val="Heading2"/>
              <w:spacing w:before="0" w:after="0"/>
              <w:jc w:val="center"/>
              <w:rPr>
                <w:rFonts w:ascii="Times New Roman" w:hAnsi="Times New Roman"/>
                <w:i w:val="0"/>
                <w:sz w:val="24"/>
                <w:szCs w:val="24"/>
              </w:rPr>
            </w:pPr>
            <w:r w:rsidRPr="00754355">
              <w:rPr>
                <w:rFonts w:ascii="Times New Roman" w:hAnsi="Times New Roman"/>
                <w:i w:val="0"/>
                <w:sz w:val="24"/>
                <w:szCs w:val="24"/>
              </w:rPr>
              <w:t>Was</w:t>
            </w:r>
          </w:p>
        </w:tc>
        <w:tc>
          <w:tcPr>
            <w:tcW w:w="3363" w:type="dxa"/>
            <w:shd w:val="clear" w:color="auto" w:fill="CCFFCC"/>
          </w:tcPr>
          <w:p w:rsidR="00F26E0D" w:rsidRPr="00754355" w:rsidRDefault="00F26E0D" w:rsidP="001A2DEE">
            <w:pPr>
              <w:pStyle w:val="Heading2"/>
              <w:spacing w:before="0" w:after="0"/>
              <w:jc w:val="center"/>
              <w:rPr>
                <w:rFonts w:ascii="Times New Roman" w:hAnsi="Times New Roman"/>
                <w:i w:val="0"/>
                <w:sz w:val="24"/>
                <w:szCs w:val="24"/>
              </w:rPr>
            </w:pPr>
            <w:r w:rsidRPr="00754355">
              <w:rPr>
                <w:rFonts w:ascii="Times New Roman" w:hAnsi="Times New Roman"/>
                <w:i w:val="0"/>
                <w:sz w:val="24"/>
                <w:szCs w:val="24"/>
              </w:rPr>
              <w:t>Change to</w:t>
            </w:r>
          </w:p>
        </w:tc>
      </w:tr>
      <w:tr w:rsidR="001B6919" w:rsidRPr="001A2DEE" w:rsidTr="00B52842">
        <w:trPr>
          <w:trHeight w:val="150"/>
          <w:jc w:val="center"/>
        </w:trPr>
        <w:tc>
          <w:tcPr>
            <w:tcW w:w="10091" w:type="dxa"/>
            <w:gridSpan w:val="3"/>
          </w:tcPr>
          <w:p w:rsidR="001B6919" w:rsidRDefault="001B6919" w:rsidP="001B6919">
            <w:pPr>
              <w:pStyle w:val="Pa168"/>
              <w:jc w:val="center"/>
              <w:rPr>
                <w:rFonts w:ascii="Times New Roman" w:hAnsi="Times New Roman"/>
                <w:color w:val="221E1F"/>
              </w:rPr>
            </w:pPr>
            <w:r>
              <w:rPr>
                <w:rFonts w:ascii="Times New Roman" w:hAnsi="Times New Roman"/>
              </w:rPr>
              <w:t xml:space="preserve">NOTE: 2017 Forms </w:t>
            </w:r>
            <w:r w:rsidR="00944660">
              <w:rPr>
                <w:rFonts w:ascii="Times New Roman" w:hAnsi="Times New Roman"/>
              </w:rPr>
              <w:t xml:space="preserve">and </w:t>
            </w:r>
            <w:r>
              <w:rPr>
                <w:rFonts w:ascii="Times New Roman" w:hAnsi="Times New Roman"/>
              </w:rPr>
              <w:t>are available</w:t>
            </w:r>
            <w:r w:rsidR="00F20029">
              <w:rPr>
                <w:rFonts w:ascii="Times New Roman" w:hAnsi="Times New Roman"/>
              </w:rPr>
              <w:t xml:space="preserve"> (These will not be updated in the next ninth edition printing)</w:t>
            </w:r>
          </w:p>
        </w:tc>
      </w:tr>
      <w:tr w:rsidR="00722C7B" w:rsidRPr="001A2DEE" w:rsidTr="00754355">
        <w:trPr>
          <w:trHeight w:val="150"/>
          <w:jc w:val="center"/>
        </w:trPr>
        <w:tc>
          <w:tcPr>
            <w:tcW w:w="3445" w:type="dxa"/>
          </w:tcPr>
          <w:p w:rsidR="00722C7B" w:rsidRDefault="00722C7B" w:rsidP="00472A2B">
            <w:pPr>
              <w:rPr>
                <w:rFonts w:ascii="Times New Roman" w:hAnsi="Times New Roman"/>
              </w:rPr>
            </w:pPr>
            <w:r>
              <w:rPr>
                <w:rFonts w:ascii="Times New Roman" w:hAnsi="Times New Roman"/>
              </w:rPr>
              <w:t>22</w:t>
            </w:r>
          </w:p>
        </w:tc>
        <w:tc>
          <w:tcPr>
            <w:tcW w:w="3283" w:type="dxa"/>
          </w:tcPr>
          <w:p w:rsidR="00722C7B" w:rsidRPr="00722C7B" w:rsidRDefault="00722C7B" w:rsidP="00722C7B">
            <w:pPr>
              <w:pStyle w:val="Pa168"/>
              <w:rPr>
                <w:rFonts w:ascii="Times New Roman" w:hAnsi="Times New Roman"/>
                <w:color w:val="221E1F"/>
              </w:rPr>
            </w:pPr>
            <w:r>
              <w:rPr>
                <w:rFonts w:ascii="Times New Roman" w:hAnsi="Times New Roman"/>
                <w:color w:val="221E1F"/>
              </w:rPr>
              <w:t>■</w:t>
            </w:r>
            <w:r w:rsidRPr="00722C7B">
              <w:rPr>
                <w:rFonts w:ascii="Times New Roman" w:hAnsi="Times New Roman"/>
                <w:color w:val="221E1F"/>
              </w:rPr>
              <w:t xml:space="preserve"> surface rights,</w:t>
            </w:r>
          </w:p>
          <w:p w:rsidR="00722C7B" w:rsidRPr="00722C7B" w:rsidRDefault="00722C7B" w:rsidP="00722C7B">
            <w:pPr>
              <w:pStyle w:val="Pa168"/>
              <w:rPr>
                <w:rFonts w:ascii="Times New Roman" w:hAnsi="Times New Roman"/>
                <w:color w:val="221E1F"/>
              </w:rPr>
            </w:pPr>
            <w:r w:rsidRPr="00722C7B">
              <w:rPr>
                <w:rFonts w:ascii="Times New Roman" w:hAnsi="Times New Roman"/>
                <w:color w:val="221E1F"/>
              </w:rPr>
              <w:t>■ surface rights,</w:t>
            </w:r>
          </w:p>
          <w:p w:rsidR="00722C7B" w:rsidRPr="00722C7B" w:rsidRDefault="00722C7B" w:rsidP="00722C7B">
            <w:pPr>
              <w:pStyle w:val="Pa168"/>
              <w:rPr>
                <w:rFonts w:ascii="Times New Roman" w:hAnsi="Times New Roman"/>
                <w:color w:val="221E1F"/>
              </w:rPr>
            </w:pPr>
            <w:r w:rsidRPr="00722C7B">
              <w:rPr>
                <w:rFonts w:ascii="Times New Roman" w:hAnsi="Times New Roman"/>
                <w:color w:val="221E1F"/>
              </w:rPr>
              <w:t>■ subsurface gas and oil rights, and</w:t>
            </w:r>
          </w:p>
          <w:p w:rsidR="00722C7B" w:rsidRPr="006A171E" w:rsidRDefault="00722C7B" w:rsidP="00722C7B">
            <w:pPr>
              <w:pStyle w:val="Pa168"/>
              <w:rPr>
                <w:rFonts w:ascii="Times New Roman" w:hAnsi="Times New Roman"/>
                <w:color w:val="221E1F"/>
              </w:rPr>
            </w:pPr>
            <w:r w:rsidRPr="00722C7B">
              <w:rPr>
                <w:rFonts w:ascii="Times New Roman" w:hAnsi="Times New Roman"/>
                <w:color w:val="221E1F"/>
              </w:rPr>
              <w:t xml:space="preserve">■ </w:t>
            </w:r>
            <w:proofErr w:type="gramStart"/>
            <w:r w:rsidRPr="00722C7B">
              <w:rPr>
                <w:rFonts w:ascii="Times New Roman" w:hAnsi="Times New Roman"/>
                <w:color w:val="221E1F"/>
              </w:rPr>
              <w:t>air</w:t>
            </w:r>
            <w:proofErr w:type="gramEnd"/>
            <w:r w:rsidRPr="00722C7B">
              <w:rPr>
                <w:rFonts w:ascii="Times New Roman" w:hAnsi="Times New Roman"/>
                <w:color w:val="221E1F"/>
              </w:rPr>
              <w:t xml:space="preserve"> rights.</w:t>
            </w:r>
          </w:p>
        </w:tc>
        <w:tc>
          <w:tcPr>
            <w:tcW w:w="3363" w:type="dxa"/>
          </w:tcPr>
          <w:p w:rsidR="00722C7B" w:rsidRPr="00722C7B" w:rsidRDefault="00722C7B" w:rsidP="00722C7B">
            <w:pPr>
              <w:pStyle w:val="Pa168"/>
              <w:rPr>
                <w:rFonts w:ascii="Times New Roman" w:hAnsi="Times New Roman"/>
                <w:color w:val="221E1F"/>
              </w:rPr>
            </w:pPr>
            <w:r w:rsidRPr="00722C7B">
              <w:rPr>
                <w:rFonts w:ascii="Times New Roman" w:hAnsi="Times New Roman"/>
                <w:color w:val="221E1F"/>
              </w:rPr>
              <w:t>■ surface rights,</w:t>
            </w:r>
          </w:p>
          <w:p w:rsidR="00722C7B" w:rsidRPr="00722C7B" w:rsidRDefault="00722C7B" w:rsidP="00722C7B">
            <w:pPr>
              <w:pStyle w:val="Pa168"/>
              <w:rPr>
                <w:rFonts w:ascii="Times New Roman" w:hAnsi="Times New Roman"/>
                <w:color w:val="221E1F"/>
              </w:rPr>
            </w:pPr>
            <w:r w:rsidRPr="00722C7B">
              <w:rPr>
                <w:rFonts w:ascii="Times New Roman" w:hAnsi="Times New Roman"/>
                <w:color w:val="221E1F"/>
              </w:rPr>
              <w:t>■ subsurface gas and oil rights, and</w:t>
            </w:r>
          </w:p>
          <w:p w:rsidR="00722C7B" w:rsidRDefault="00722C7B" w:rsidP="00722C7B">
            <w:pPr>
              <w:pStyle w:val="Pa168"/>
              <w:rPr>
                <w:rFonts w:ascii="Times New Roman" w:hAnsi="Times New Roman"/>
                <w:color w:val="221E1F"/>
              </w:rPr>
            </w:pPr>
            <w:r w:rsidRPr="00722C7B">
              <w:rPr>
                <w:rFonts w:ascii="Times New Roman" w:hAnsi="Times New Roman"/>
                <w:color w:val="221E1F"/>
              </w:rPr>
              <w:t>■ air rights.</w:t>
            </w:r>
          </w:p>
        </w:tc>
      </w:tr>
      <w:tr w:rsidR="006A171E" w:rsidRPr="001A2DEE" w:rsidTr="00754355">
        <w:trPr>
          <w:trHeight w:val="150"/>
          <w:jc w:val="center"/>
        </w:trPr>
        <w:tc>
          <w:tcPr>
            <w:tcW w:w="3445" w:type="dxa"/>
          </w:tcPr>
          <w:p w:rsidR="006A171E" w:rsidRDefault="006A171E" w:rsidP="00472A2B">
            <w:pPr>
              <w:rPr>
                <w:rFonts w:ascii="Times New Roman" w:hAnsi="Times New Roman"/>
              </w:rPr>
            </w:pPr>
            <w:r>
              <w:rPr>
                <w:rFonts w:ascii="Times New Roman" w:hAnsi="Times New Roman"/>
              </w:rPr>
              <w:t>67, 12</w:t>
            </w:r>
          </w:p>
        </w:tc>
        <w:tc>
          <w:tcPr>
            <w:tcW w:w="3283" w:type="dxa"/>
          </w:tcPr>
          <w:p w:rsidR="006A171E" w:rsidRPr="006A171E" w:rsidRDefault="006A171E" w:rsidP="006A171E">
            <w:pPr>
              <w:pStyle w:val="Pa168"/>
              <w:rPr>
                <w:rFonts w:ascii="Times New Roman" w:hAnsi="Times New Roman"/>
                <w:color w:val="221E1F"/>
              </w:rPr>
            </w:pPr>
            <w:r w:rsidRPr="006A171E">
              <w:rPr>
                <w:rFonts w:ascii="Times New Roman" w:hAnsi="Times New Roman"/>
                <w:color w:val="221E1F"/>
              </w:rPr>
              <w:t>The follo</w:t>
            </w:r>
            <w:r>
              <w:rPr>
                <w:rFonts w:ascii="Times New Roman" w:hAnsi="Times New Roman"/>
                <w:color w:val="221E1F"/>
              </w:rPr>
              <w:t xml:space="preserve">wing North Carolina brokers can </w:t>
            </w:r>
            <w:r w:rsidRPr="006A171E">
              <w:rPr>
                <w:rFonts w:ascii="Times New Roman" w:hAnsi="Times New Roman"/>
                <w:color w:val="221E1F"/>
              </w:rPr>
              <w:t>file a lien to secure payment of brokerage fees</w:t>
            </w:r>
            <w:r>
              <w:rPr>
                <w:rFonts w:ascii="Times New Roman" w:hAnsi="Times New Roman"/>
                <w:color w:val="221E1F"/>
              </w:rPr>
              <w:t xml:space="preserve"> </w:t>
            </w:r>
            <w:r w:rsidRPr="006A171E">
              <w:rPr>
                <w:rFonts w:ascii="Times New Roman" w:hAnsi="Times New Roman"/>
                <w:color w:val="221E1F"/>
              </w:rPr>
              <w:t>EXCEPT</w:t>
            </w:r>
          </w:p>
          <w:p w:rsidR="006A171E" w:rsidRPr="006A171E" w:rsidRDefault="006A171E" w:rsidP="006A171E">
            <w:pPr>
              <w:pStyle w:val="Pa168"/>
              <w:rPr>
                <w:rFonts w:ascii="Times New Roman" w:hAnsi="Times New Roman"/>
                <w:color w:val="221E1F"/>
              </w:rPr>
            </w:pPr>
            <w:proofErr w:type="gramStart"/>
            <w:r w:rsidRPr="006A171E">
              <w:rPr>
                <w:rFonts w:ascii="Times New Roman" w:hAnsi="Times New Roman"/>
                <w:color w:val="221E1F"/>
              </w:rPr>
              <w:t>a</w:t>
            </w:r>
            <w:proofErr w:type="gramEnd"/>
            <w:r w:rsidRPr="006A171E">
              <w:rPr>
                <w:rFonts w:ascii="Times New Roman" w:hAnsi="Times New Roman"/>
                <w:color w:val="221E1F"/>
              </w:rPr>
              <w:t>. a listing agent for a $10 million mansion.</w:t>
            </w:r>
          </w:p>
          <w:p w:rsidR="006A171E" w:rsidRPr="006A171E" w:rsidRDefault="006A171E" w:rsidP="006A171E">
            <w:pPr>
              <w:pStyle w:val="Pa168"/>
              <w:rPr>
                <w:rFonts w:ascii="Times New Roman" w:hAnsi="Times New Roman"/>
                <w:color w:val="221E1F"/>
              </w:rPr>
            </w:pPr>
            <w:proofErr w:type="gramStart"/>
            <w:r w:rsidRPr="006A171E">
              <w:rPr>
                <w:rFonts w:ascii="Times New Roman" w:hAnsi="Times New Roman"/>
                <w:color w:val="221E1F"/>
              </w:rPr>
              <w:t>b</w:t>
            </w:r>
            <w:proofErr w:type="gramEnd"/>
            <w:r w:rsidRPr="006A171E">
              <w:rPr>
                <w:rFonts w:ascii="Times New Roman" w:hAnsi="Times New Roman"/>
                <w:color w:val="221E1F"/>
              </w:rPr>
              <w:t>. a tenant’s re</w:t>
            </w:r>
            <w:r>
              <w:rPr>
                <w:rFonts w:ascii="Times New Roman" w:hAnsi="Times New Roman"/>
                <w:color w:val="221E1F"/>
              </w:rPr>
              <w:t xml:space="preserve">presentative for the lease of a </w:t>
            </w:r>
            <w:r w:rsidRPr="006A171E">
              <w:rPr>
                <w:rFonts w:ascii="Times New Roman" w:hAnsi="Times New Roman"/>
                <w:color w:val="221E1F"/>
              </w:rPr>
              <w:t>manufacturing plant.</w:t>
            </w:r>
          </w:p>
          <w:p w:rsidR="006A171E" w:rsidRPr="006A171E" w:rsidRDefault="006A171E" w:rsidP="006A171E">
            <w:pPr>
              <w:pStyle w:val="Pa168"/>
              <w:rPr>
                <w:rFonts w:ascii="Times New Roman" w:hAnsi="Times New Roman"/>
                <w:color w:val="221E1F"/>
              </w:rPr>
            </w:pPr>
            <w:proofErr w:type="gramStart"/>
            <w:r w:rsidRPr="006A171E">
              <w:rPr>
                <w:rFonts w:ascii="Times New Roman" w:hAnsi="Times New Roman"/>
                <w:color w:val="221E1F"/>
              </w:rPr>
              <w:t>c</w:t>
            </w:r>
            <w:proofErr w:type="gramEnd"/>
            <w:r w:rsidRPr="006A171E">
              <w:rPr>
                <w:rFonts w:ascii="Times New Roman" w:hAnsi="Times New Roman"/>
                <w:color w:val="221E1F"/>
              </w:rPr>
              <w:t>. a listing agent for the sale of a shopping</w:t>
            </w:r>
            <w:r>
              <w:rPr>
                <w:rFonts w:ascii="Times New Roman" w:hAnsi="Times New Roman"/>
                <w:color w:val="221E1F"/>
              </w:rPr>
              <w:t xml:space="preserve"> </w:t>
            </w:r>
            <w:r w:rsidRPr="006A171E">
              <w:rPr>
                <w:rFonts w:ascii="Times New Roman" w:hAnsi="Times New Roman"/>
                <w:color w:val="221E1F"/>
              </w:rPr>
              <w:t>center.</w:t>
            </w:r>
          </w:p>
          <w:p w:rsidR="006A171E" w:rsidRPr="001A6032" w:rsidRDefault="006A171E" w:rsidP="006A171E">
            <w:pPr>
              <w:pStyle w:val="Pa168"/>
              <w:rPr>
                <w:rFonts w:ascii="Times New Roman" w:hAnsi="Times New Roman"/>
                <w:color w:val="221E1F"/>
              </w:rPr>
            </w:pPr>
            <w:proofErr w:type="gramStart"/>
            <w:r w:rsidRPr="006A171E">
              <w:rPr>
                <w:rFonts w:ascii="Times New Roman" w:hAnsi="Times New Roman"/>
                <w:color w:val="221E1F"/>
              </w:rPr>
              <w:lastRenderedPageBreak/>
              <w:t>d</w:t>
            </w:r>
            <w:proofErr w:type="gramEnd"/>
            <w:r w:rsidRPr="006A171E">
              <w:rPr>
                <w:rFonts w:ascii="Times New Roman" w:hAnsi="Times New Roman"/>
                <w:color w:val="221E1F"/>
              </w:rPr>
              <w:t>. a buyer’s agent for the purchase of an office</w:t>
            </w:r>
            <w:r>
              <w:rPr>
                <w:rFonts w:ascii="Times New Roman" w:hAnsi="Times New Roman"/>
                <w:color w:val="221E1F"/>
              </w:rPr>
              <w:t xml:space="preserve"> </w:t>
            </w:r>
            <w:r w:rsidRPr="006A171E">
              <w:rPr>
                <w:rFonts w:ascii="Times New Roman" w:hAnsi="Times New Roman"/>
                <w:color w:val="221E1F"/>
              </w:rPr>
              <w:t>building.</w:t>
            </w:r>
          </w:p>
        </w:tc>
        <w:tc>
          <w:tcPr>
            <w:tcW w:w="3363" w:type="dxa"/>
          </w:tcPr>
          <w:p w:rsidR="006A171E" w:rsidRPr="006A171E" w:rsidRDefault="006A171E" w:rsidP="006A171E">
            <w:pPr>
              <w:pStyle w:val="Pa168"/>
              <w:rPr>
                <w:rFonts w:ascii="Times New Roman" w:hAnsi="Times New Roman"/>
                <w:color w:val="221E1F"/>
              </w:rPr>
            </w:pPr>
            <w:r>
              <w:rPr>
                <w:rFonts w:ascii="Times New Roman" w:hAnsi="Times New Roman"/>
                <w:color w:val="221E1F"/>
              </w:rPr>
              <w:lastRenderedPageBreak/>
              <w:t>Which of the</w:t>
            </w:r>
            <w:r w:rsidRPr="006A171E">
              <w:rPr>
                <w:rFonts w:ascii="Times New Roman" w:hAnsi="Times New Roman"/>
                <w:color w:val="221E1F"/>
              </w:rPr>
              <w:t xml:space="preserve"> follo</w:t>
            </w:r>
            <w:r>
              <w:rPr>
                <w:rFonts w:ascii="Times New Roman" w:hAnsi="Times New Roman"/>
                <w:color w:val="221E1F"/>
              </w:rPr>
              <w:t xml:space="preserve">wing North Carolina brokers can </w:t>
            </w:r>
            <w:r w:rsidRPr="006A171E">
              <w:rPr>
                <w:rFonts w:ascii="Times New Roman" w:hAnsi="Times New Roman"/>
                <w:color w:val="221E1F"/>
              </w:rPr>
              <w:t>file a lien to secure payment of brokerage fees</w:t>
            </w:r>
          </w:p>
          <w:p w:rsidR="006A171E" w:rsidRPr="006A171E" w:rsidRDefault="006A171E" w:rsidP="006A171E">
            <w:pPr>
              <w:pStyle w:val="Pa168"/>
              <w:rPr>
                <w:rFonts w:ascii="Times New Roman" w:hAnsi="Times New Roman"/>
                <w:color w:val="221E1F"/>
              </w:rPr>
            </w:pPr>
            <w:r>
              <w:rPr>
                <w:rFonts w:ascii="Times New Roman" w:hAnsi="Times New Roman"/>
                <w:color w:val="221E1F"/>
              </w:rPr>
              <w:t>a. A</w:t>
            </w:r>
            <w:r w:rsidRPr="006A171E">
              <w:rPr>
                <w:rFonts w:ascii="Times New Roman" w:hAnsi="Times New Roman"/>
                <w:color w:val="221E1F"/>
              </w:rPr>
              <w:t xml:space="preserve"> listing </w:t>
            </w:r>
            <w:r>
              <w:rPr>
                <w:rFonts w:ascii="Times New Roman" w:hAnsi="Times New Roman"/>
                <w:color w:val="221E1F"/>
              </w:rPr>
              <w:t>agent for a $10 million mansion</w:t>
            </w:r>
          </w:p>
          <w:p w:rsidR="006A171E" w:rsidRPr="006A171E" w:rsidRDefault="006A171E" w:rsidP="006A171E">
            <w:pPr>
              <w:pStyle w:val="Pa168"/>
              <w:rPr>
                <w:rFonts w:ascii="Times New Roman" w:hAnsi="Times New Roman"/>
                <w:color w:val="221E1F"/>
              </w:rPr>
            </w:pPr>
            <w:r>
              <w:rPr>
                <w:rFonts w:ascii="Times New Roman" w:hAnsi="Times New Roman"/>
                <w:color w:val="221E1F"/>
              </w:rPr>
              <w:t>b. A</w:t>
            </w:r>
            <w:r w:rsidRPr="006A171E">
              <w:rPr>
                <w:rFonts w:ascii="Times New Roman" w:hAnsi="Times New Roman"/>
                <w:color w:val="221E1F"/>
              </w:rPr>
              <w:t xml:space="preserve"> tenant’s re</w:t>
            </w:r>
            <w:r>
              <w:rPr>
                <w:rFonts w:ascii="Times New Roman" w:hAnsi="Times New Roman"/>
                <w:color w:val="221E1F"/>
              </w:rPr>
              <w:t>presentative for the lease of a manufacturing plant</w:t>
            </w:r>
          </w:p>
          <w:p w:rsidR="006A171E" w:rsidRPr="006A171E" w:rsidRDefault="006A171E" w:rsidP="006A171E">
            <w:pPr>
              <w:pStyle w:val="Pa168"/>
              <w:rPr>
                <w:rFonts w:ascii="Times New Roman" w:hAnsi="Times New Roman"/>
                <w:color w:val="221E1F"/>
              </w:rPr>
            </w:pPr>
            <w:r>
              <w:rPr>
                <w:rFonts w:ascii="Times New Roman" w:hAnsi="Times New Roman"/>
                <w:color w:val="221E1F"/>
              </w:rPr>
              <w:t>c. A</w:t>
            </w:r>
            <w:r w:rsidRPr="006A171E">
              <w:rPr>
                <w:rFonts w:ascii="Times New Roman" w:hAnsi="Times New Roman"/>
                <w:color w:val="221E1F"/>
              </w:rPr>
              <w:t xml:space="preserve"> listing agent for the sale of a shopping</w:t>
            </w:r>
            <w:r>
              <w:rPr>
                <w:rFonts w:ascii="Times New Roman" w:hAnsi="Times New Roman"/>
                <w:color w:val="221E1F"/>
              </w:rPr>
              <w:t xml:space="preserve"> center</w:t>
            </w:r>
          </w:p>
          <w:p w:rsidR="006A171E" w:rsidRDefault="006A171E" w:rsidP="006A171E">
            <w:pPr>
              <w:pStyle w:val="Pa168"/>
              <w:ind w:left="10" w:hanging="10"/>
              <w:rPr>
                <w:rFonts w:ascii="Times New Roman" w:hAnsi="Times New Roman"/>
                <w:color w:val="221E1F"/>
              </w:rPr>
            </w:pPr>
            <w:r>
              <w:rPr>
                <w:rFonts w:ascii="Times New Roman" w:hAnsi="Times New Roman"/>
                <w:color w:val="221E1F"/>
              </w:rPr>
              <w:lastRenderedPageBreak/>
              <w:t>d. A</w:t>
            </w:r>
            <w:r w:rsidRPr="006A171E">
              <w:rPr>
                <w:rFonts w:ascii="Times New Roman" w:hAnsi="Times New Roman"/>
                <w:color w:val="221E1F"/>
              </w:rPr>
              <w:t xml:space="preserve"> buyer’s agent for the purchase of an office</w:t>
            </w:r>
            <w:r>
              <w:rPr>
                <w:rFonts w:ascii="Times New Roman" w:hAnsi="Times New Roman"/>
                <w:color w:val="221E1F"/>
              </w:rPr>
              <w:t xml:space="preserve"> </w:t>
            </w:r>
            <w:r w:rsidRPr="006A171E">
              <w:rPr>
                <w:rFonts w:ascii="Times New Roman" w:hAnsi="Times New Roman"/>
                <w:color w:val="221E1F"/>
              </w:rPr>
              <w:t>building</w:t>
            </w:r>
          </w:p>
        </w:tc>
      </w:tr>
      <w:tr w:rsidR="001A6032" w:rsidRPr="001A2DEE" w:rsidTr="00754355">
        <w:trPr>
          <w:trHeight w:val="150"/>
          <w:jc w:val="center"/>
        </w:trPr>
        <w:tc>
          <w:tcPr>
            <w:tcW w:w="3445" w:type="dxa"/>
          </w:tcPr>
          <w:p w:rsidR="001A6032" w:rsidRDefault="001A6032" w:rsidP="00472A2B">
            <w:pPr>
              <w:rPr>
                <w:rFonts w:ascii="Times New Roman" w:hAnsi="Times New Roman"/>
              </w:rPr>
            </w:pPr>
            <w:r>
              <w:rPr>
                <w:rFonts w:ascii="Times New Roman" w:hAnsi="Times New Roman"/>
              </w:rPr>
              <w:lastRenderedPageBreak/>
              <w:t>316</w:t>
            </w:r>
          </w:p>
        </w:tc>
        <w:tc>
          <w:tcPr>
            <w:tcW w:w="3283" w:type="dxa"/>
          </w:tcPr>
          <w:p w:rsidR="001A6032" w:rsidRDefault="001A6032" w:rsidP="001A6032">
            <w:pPr>
              <w:pStyle w:val="Pa168"/>
              <w:rPr>
                <w:rFonts w:ascii="Times New Roman" w:hAnsi="Times New Roman"/>
                <w:color w:val="221E1F"/>
              </w:rPr>
            </w:pPr>
            <w:r w:rsidRPr="001A6032">
              <w:rPr>
                <w:rFonts w:ascii="Times New Roman" w:hAnsi="Times New Roman"/>
                <w:color w:val="221E1F"/>
              </w:rPr>
              <w:t xml:space="preserve">If the </w:t>
            </w:r>
            <w:proofErr w:type="spellStart"/>
            <w:r w:rsidRPr="001A6032">
              <w:rPr>
                <w:rFonts w:ascii="Times New Roman" w:hAnsi="Times New Roman"/>
                <w:color w:val="221E1F"/>
              </w:rPr>
              <w:t>optionor</w:t>
            </w:r>
            <w:proofErr w:type="spellEnd"/>
            <w:r w:rsidRPr="001A6032">
              <w:rPr>
                <w:rFonts w:ascii="Times New Roman" w:hAnsi="Times New Roman"/>
                <w:color w:val="221E1F"/>
              </w:rPr>
              <w:t xml:space="preserve"> wishes to go forward with the purch</w:t>
            </w:r>
            <w:r>
              <w:rPr>
                <w:rFonts w:ascii="Times New Roman" w:hAnsi="Times New Roman"/>
                <w:color w:val="221E1F"/>
              </w:rPr>
              <w:t xml:space="preserve">ase, the </w:t>
            </w:r>
            <w:proofErr w:type="spellStart"/>
            <w:r>
              <w:rPr>
                <w:rFonts w:ascii="Times New Roman" w:hAnsi="Times New Roman"/>
                <w:color w:val="221E1F"/>
              </w:rPr>
              <w:t>optionor</w:t>
            </w:r>
            <w:proofErr w:type="spellEnd"/>
            <w:r>
              <w:rPr>
                <w:rFonts w:ascii="Times New Roman" w:hAnsi="Times New Roman"/>
                <w:color w:val="221E1F"/>
              </w:rPr>
              <w:t xml:space="preserve"> must exercise </w:t>
            </w:r>
            <w:r w:rsidRPr="001A6032">
              <w:rPr>
                <w:rFonts w:ascii="Times New Roman" w:hAnsi="Times New Roman"/>
                <w:color w:val="221E1F"/>
              </w:rPr>
              <w:t>his or her right to buy, typically in writing. Once an option has expired, the</w:t>
            </w:r>
            <w:r>
              <w:rPr>
                <w:rFonts w:ascii="Times New Roman" w:hAnsi="Times New Roman"/>
                <w:color w:val="221E1F"/>
              </w:rPr>
              <w:t xml:space="preserve"> </w:t>
            </w:r>
            <w:proofErr w:type="spellStart"/>
            <w:r w:rsidRPr="001A6032">
              <w:rPr>
                <w:rFonts w:ascii="Times New Roman" w:hAnsi="Times New Roman"/>
                <w:color w:val="221E1F"/>
              </w:rPr>
              <w:t>optionor</w:t>
            </w:r>
            <w:proofErr w:type="spellEnd"/>
            <w:r w:rsidRPr="001A6032">
              <w:rPr>
                <w:rFonts w:ascii="Times New Roman" w:hAnsi="Times New Roman"/>
                <w:color w:val="221E1F"/>
              </w:rPr>
              <w:t xml:space="preserve"> no longer has the right to buy under the terms of the agreement.</w:t>
            </w:r>
          </w:p>
        </w:tc>
        <w:tc>
          <w:tcPr>
            <w:tcW w:w="3363" w:type="dxa"/>
          </w:tcPr>
          <w:p w:rsidR="001A6032" w:rsidRDefault="001A6032" w:rsidP="00754355">
            <w:pPr>
              <w:pStyle w:val="Pa168"/>
              <w:ind w:left="10" w:hanging="10"/>
              <w:rPr>
                <w:rFonts w:ascii="Times New Roman" w:hAnsi="Times New Roman"/>
                <w:color w:val="221E1F"/>
              </w:rPr>
            </w:pPr>
            <w:r>
              <w:rPr>
                <w:rFonts w:ascii="Times New Roman" w:hAnsi="Times New Roman"/>
                <w:color w:val="221E1F"/>
              </w:rPr>
              <w:t xml:space="preserve">If the </w:t>
            </w:r>
            <w:proofErr w:type="spellStart"/>
            <w:r>
              <w:rPr>
                <w:rFonts w:ascii="Times New Roman" w:hAnsi="Times New Roman"/>
                <w:color w:val="221E1F"/>
              </w:rPr>
              <w:t>optionee</w:t>
            </w:r>
            <w:proofErr w:type="spellEnd"/>
            <w:r w:rsidRPr="001A6032">
              <w:rPr>
                <w:rFonts w:ascii="Times New Roman" w:hAnsi="Times New Roman"/>
                <w:color w:val="221E1F"/>
              </w:rPr>
              <w:t xml:space="preserve"> wishes to go forward with the purch</w:t>
            </w:r>
            <w:r>
              <w:rPr>
                <w:rFonts w:ascii="Times New Roman" w:hAnsi="Times New Roman"/>
                <w:color w:val="221E1F"/>
              </w:rPr>
              <w:t xml:space="preserve">ase, the </w:t>
            </w:r>
            <w:proofErr w:type="spellStart"/>
            <w:r>
              <w:rPr>
                <w:rFonts w:ascii="Times New Roman" w:hAnsi="Times New Roman"/>
                <w:color w:val="221E1F"/>
              </w:rPr>
              <w:t>optionee</w:t>
            </w:r>
            <w:proofErr w:type="spellEnd"/>
            <w:r>
              <w:rPr>
                <w:rFonts w:ascii="Times New Roman" w:hAnsi="Times New Roman"/>
                <w:color w:val="221E1F"/>
              </w:rPr>
              <w:t xml:space="preserve"> must exercise </w:t>
            </w:r>
            <w:r w:rsidRPr="001A6032">
              <w:rPr>
                <w:rFonts w:ascii="Times New Roman" w:hAnsi="Times New Roman"/>
                <w:color w:val="221E1F"/>
              </w:rPr>
              <w:t>his or her right to buy, typically in writing. Once an option has expired, the</w:t>
            </w:r>
            <w:r>
              <w:rPr>
                <w:rFonts w:ascii="Times New Roman" w:hAnsi="Times New Roman"/>
                <w:color w:val="221E1F"/>
              </w:rPr>
              <w:t xml:space="preserve"> </w:t>
            </w:r>
            <w:proofErr w:type="spellStart"/>
            <w:r>
              <w:rPr>
                <w:rFonts w:ascii="Times New Roman" w:hAnsi="Times New Roman"/>
                <w:color w:val="221E1F"/>
              </w:rPr>
              <w:t>optionee</w:t>
            </w:r>
            <w:proofErr w:type="spellEnd"/>
            <w:r w:rsidRPr="001A6032">
              <w:rPr>
                <w:rFonts w:ascii="Times New Roman" w:hAnsi="Times New Roman"/>
                <w:color w:val="221E1F"/>
              </w:rPr>
              <w:t xml:space="preserve"> no longer has the right to buy under the terms of the agreement.</w:t>
            </w:r>
          </w:p>
        </w:tc>
      </w:tr>
      <w:tr w:rsidR="00A254F5" w:rsidRPr="001A2DEE" w:rsidTr="00754355">
        <w:trPr>
          <w:trHeight w:val="150"/>
          <w:jc w:val="center"/>
        </w:trPr>
        <w:tc>
          <w:tcPr>
            <w:tcW w:w="3445" w:type="dxa"/>
          </w:tcPr>
          <w:p w:rsidR="00A254F5" w:rsidRDefault="00A254F5" w:rsidP="00472A2B">
            <w:pPr>
              <w:rPr>
                <w:rFonts w:ascii="Times New Roman" w:hAnsi="Times New Roman"/>
              </w:rPr>
            </w:pPr>
            <w:r>
              <w:rPr>
                <w:rFonts w:ascii="Times New Roman" w:hAnsi="Times New Roman"/>
              </w:rPr>
              <w:t>380, question 16</w:t>
            </w:r>
          </w:p>
        </w:tc>
        <w:tc>
          <w:tcPr>
            <w:tcW w:w="3283" w:type="dxa"/>
          </w:tcPr>
          <w:p w:rsidR="00A254F5" w:rsidRPr="00A254F5" w:rsidRDefault="00A254F5" w:rsidP="00A254F5">
            <w:pPr>
              <w:pStyle w:val="Pa168"/>
              <w:rPr>
                <w:rFonts w:ascii="Times New Roman" w:hAnsi="Times New Roman"/>
                <w:color w:val="221E1F"/>
              </w:rPr>
            </w:pPr>
            <w:r w:rsidRPr="00A254F5">
              <w:rPr>
                <w:rFonts w:ascii="Times New Roman" w:hAnsi="Times New Roman"/>
                <w:color w:val="221E1F"/>
              </w:rPr>
              <w:t>a. Employee wages</w:t>
            </w:r>
          </w:p>
          <w:p w:rsidR="00A254F5" w:rsidRPr="00A254F5" w:rsidRDefault="00A254F5" w:rsidP="00A254F5">
            <w:pPr>
              <w:pStyle w:val="Pa168"/>
              <w:rPr>
                <w:rFonts w:ascii="Times New Roman" w:hAnsi="Times New Roman"/>
                <w:color w:val="221E1F"/>
              </w:rPr>
            </w:pPr>
            <w:r w:rsidRPr="00A254F5">
              <w:rPr>
                <w:rFonts w:ascii="Times New Roman" w:hAnsi="Times New Roman"/>
                <w:color w:val="221E1F"/>
              </w:rPr>
              <w:t>b. Utilities</w:t>
            </w:r>
          </w:p>
          <w:p w:rsidR="00A254F5" w:rsidRPr="00A254F5" w:rsidRDefault="00A254F5" w:rsidP="00A254F5">
            <w:pPr>
              <w:pStyle w:val="Pa168"/>
              <w:rPr>
                <w:rFonts w:ascii="Times New Roman" w:hAnsi="Times New Roman"/>
                <w:color w:val="221E1F"/>
              </w:rPr>
            </w:pPr>
            <w:r w:rsidRPr="00A254F5">
              <w:rPr>
                <w:rFonts w:ascii="Times New Roman" w:hAnsi="Times New Roman"/>
                <w:color w:val="221E1F"/>
              </w:rPr>
              <w:t>c. Building repairs</w:t>
            </w:r>
          </w:p>
          <w:p w:rsidR="00A254F5" w:rsidRDefault="00A254F5" w:rsidP="00A254F5">
            <w:pPr>
              <w:pStyle w:val="Pa168"/>
              <w:rPr>
                <w:rFonts w:ascii="Times New Roman" w:hAnsi="Times New Roman"/>
                <w:color w:val="221E1F"/>
              </w:rPr>
            </w:pPr>
            <w:r w:rsidRPr="00A254F5">
              <w:rPr>
                <w:rFonts w:ascii="Times New Roman" w:hAnsi="Times New Roman"/>
                <w:color w:val="221E1F"/>
              </w:rPr>
              <w:t>d. Basic operating costs</w:t>
            </w:r>
          </w:p>
        </w:tc>
        <w:tc>
          <w:tcPr>
            <w:tcW w:w="3363" w:type="dxa"/>
          </w:tcPr>
          <w:p w:rsidR="00A254F5" w:rsidRPr="00A254F5" w:rsidRDefault="00A254F5" w:rsidP="00A254F5">
            <w:pPr>
              <w:pStyle w:val="Pa168"/>
              <w:ind w:left="10" w:hanging="10"/>
              <w:rPr>
                <w:rFonts w:ascii="Times New Roman" w:hAnsi="Times New Roman"/>
                <w:color w:val="221E1F"/>
              </w:rPr>
            </w:pPr>
            <w:r w:rsidRPr="00A254F5">
              <w:rPr>
                <w:rFonts w:ascii="Times New Roman" w:hAnsi="Times New Roman"/>
                <w:color w:val="221E1F"/>
              </w:rPr>
              <w:t>a. Employee wages</w:t>
            </w:r>
          </w:p>
          <w:p w:rsidR="00A254F5" w:rsidRPr="00A254F5" w:rsidRDefault="00A254F5" w:rsidP="00A254F5">
            <w:pPr>
              <w:pStyle w:val="Pa168"/>
              <w:ind w:left="10" w:hanging="10"/>
              <w:rPr>
                <w:rFonts w:ascii="Times New Roman" w:hAnsi="Times New Roman"/>
                <w:color w:val="221E1F"/>
              </w:rPr>
            </w:pPr>
            <w:r>
              <w:rPr>
                <w:rFonts w:ascii="Times New Roman" w:hAnsi="Times New Roman"/>
                <w:color w:val="221E1F"/>
              </w:rPr>
              <w:t>b. Property taxes</w:t>
            </w:r>
          </w:p>
          <w:p w:rsidR="00A254F5" w:rsidRPr="00A254F5" w:rsidRDefault="00A254F5" w:rsidP="00A254F5">
            <w:pPr>
              <w:pStyle w:val="Pa168"/>
              <w:ind w:left="10" w:hanging="10"/>
              <w:rPr>
                <w:rFonts w:ascii="Times New Roman" w:hAnsi="Times New Roman"/>
                <w:color w:val="221E1F"/>
              </w:rPr>
            </w:pPr>
            <w:r w:rsidRPr="00A254F5">
              <w:rPr>
                <w:rFonts w:ascii="Times New Roman" w:hAnsi="Times New Roman"/>
                <w:color w:val="221E1F"/>
              </w:rPr>
              <w:t>c. Building repairs</w:t>
            </w:r>
          </w:p>
          <w:p w:rsidR="00A254F5" w:rsidRDefault="00A254F5" w:rsidP="00A254F5">
            <w:pPr>
              <w:pStyle w:val="Pa168"/>
              <w:ind w:left="10" w:hanging="10"/>
              <w:rPr>
                <w:rFonts w:ascii="Times New Roman" w:hAnsi="Times New Roman"/>
                <w:color w:val="221E1F"/>
              </w:rPr>
            </w:pPr>
            <w:r w:rsidRPr="00A254F5">
              <w:rPr>
                <w:rFonts w:ascii="Times New Roman" w:hAnsi="Times New Roman"/>
                <w:color w:val="221E1F"/>
              </w:rPr>
              <w:t>d. Basic operating costs</w:t>
            </w:r>
          </w:p>
        </w:tc>
      </w:tr>
      <w:tr w:rsidR="00F26E0D" w:rsidRPr="001A2DEE" w:rsidTr="00754355">
        <w:trPr>
          <w:trHeight w:val="150"/>
          <w:jc w:val="center"/>
        </w:trPr>
        <w:tc>
          <w:tcPr>
            <w:tcW w:w="3445" w:type="dxa"/>
          </w:tcPr>
          <w:p w:rsidR="00F26E0D" w:rsidRPr="001A2DEE" w:rsidRDefault="00183E77" w:rsidP="00472A2B">
            <w:pPr>
              <w:rPr>
                <w:rFonts w:ascii="Times New Roman" w:hAnsi="Times New Roman"/>
              </w:rPr>
            </w:pPr>
            <w:r>
              <w:rPr>
                <w:rFonts w:ascii="Times New Roman" w:hAnsi="Times New Roman"/>
              </w:rPr>
              <w:t>405-406, Figure 14.5</w:t>
            </w:r>
          </w:p>
        </w:tc>
        <w:tc>
          <w:tcPr>
            <w:tcW w:w="3283" w:type="dxa"/>
          </w:tcPr>
          <w:p w:rsidR="00F26E0D" w:rsidRPr="001A2DEE" w:rsidRDefault="00183E77" w:rsidP="00754355">
            <w:pPr>
              <w:pStyle w:val="Pa168"/>
              <w:rPr>
                <w:rFonts w:ascii="Times New Roman" w:hAnsi="Times New Roman"/>
                <w:color w:val="221E1F"/>
              </w:rPr>
            </w:pPr>
            <w:r>
              <w:rPr>
                <w:rFonts w:ascii="Times New Roman" w:hAnsi="Times New Roman"/>
                <w:color w:val="221E1F"/>
              </w:rPr>
              <w:t>Short Sale Addendum To Exclusive Right To Sell Listing Agreement</w:t>
            </w:r>
          </w:p>
        </w:tc>
        <w:tc>
          <w:tcPr>
            <w:tcW w:w="3363" w:type="dxa"/>
          </w:tcPr>
          <w:p w:rsidR="00F26E0D" w:rsidRDefault="00183E77" w:rsidP="00754355">
            <w:pPr>
              <w:pStyle w:val="Pa168"/>
              <w:ind w:left="10" w:hanging="10"/>
              <w:rPr>
                <w:rFonts w:ascii="Times New Roman" w:hAnsi="Times New Roman"/>
                <w:color w:val="221E1F"/>
              </w:rPr>
            </w:pPr>
            <w:r>
              <w:rPr>
                <w:rFonts w:ascii="Times New Roman" w:hAnsi="Times New Roman"/>
                <w:color w:val="221E1F"/>
              </w:rPr>
              <w:t>Short Sale Addendum</w:t>
            </w:r>
          </w:p>
          <w:p w:rsidR="00D435AF" w:rsidRDefault="00D435AF" w:rsidP="001E4CF5"/>
          <w:p w:rsidR="001E4CF5" w:rsidRDefault="00D435AF" w:rsidP="001E4CF5">
            <w:r>
              <w:t>Source: Reprinted with permission of the North Carolina Association of REALTORS®.</w:t>
            </w:r>
          </w:p>
          <w:p w:rsidR="00D435AF" w:rsidRDefault="00D435AF" w:rsidP="001E4CF5"/>
          <w:p w:rsidR="00D435AF" w:rsidRPr="001E4CF5" w:rsidRDefault="00D435AF" w:rsidP="001E4CF5"/>
          <w:p w:rsidR="001E4CF5" w:rsidRDefault="001E4CF5" w:rsidP="001E4CF5">
            <w:r>
              <w:t>(See below for the Short Sale Addendum form)</w:t>
            </w:r>
          </w:p>
          <w:p w:rsidR="00E11FBA" w:rsidRDefault="00E11FBA" w:rsidP="001E4CF5"/>
          <w:p w:rsidR="00E11FBA" w:rsidRPr="001E4CF5" w:rsidRDefault="00E11FBA" w:rsidP="001E4CF5">
            <w:r>
              <w:rPr>
                <w:rFonts w:ascii="Times New Roman" w:hAnsi="Times New Roman"/>
              </w:rPr>
              <w:t>(NOTE: This will not be updated in the next ninth edition printing)</w:t>
            </w:r>
          </w:p>
        </w:tc>
      </w:tr>
      <w:tr w:rsidR="001E4CF5" w:rsidRPr="001A2DEE" w:rsidTr="00EF0E20">
        <w:trPr>
          <w:trHeight w:val="150"/>
          <w:jc w:val="center"/>
        </w:trPr>
        <w:tc>
          <w:tcPr>
            <w:tcW w:w="10091" w:type="dxa"/>
            <w:gridSpan w:val="3"/>
          </w:tcPr>
          <w:p w:rsidR="001E4CF5" w:rsidRDefault="001E4CF5" w:rsidP="00754355">
            <w:pPr>
              <w:pStyle w:val="Pa168"/>
              <w:ind w:left="10" w:hanging="10"/>
              <w:rPr>
                <w:rFonts w:ascii="Times New Roman" w:hAnsi="Times New Roman"/>
                <w:color w:val="221E1F"/>
              </w:rPr>
            </w:pPr>
            <w:r>
              <w:rPr>
                <w:rFonts w:ascii="Times New Roman" w:hAnsi="Times New Roman"/>
                <w:noProof/>
                <w:color w:val="221E1F"/>
              </w:rPr>
              <w:lastRenderedPageBreak/>
              <w:drawing>
                <wp:inline distT="0" distB="0" distL="0" distR="0" wp14:anchorId="40607D02" wp14:editId="50A880CE">
                  <wp:extent cx="6267450" cy="8105775"/>
                  <wp:effectExtent l="0" t="0" r="0" b="9525"/>
                  <wp:docPr id="5" name="Picture 5" descr="C:\Users\RHernandez\Desktop\2A14-T-Short Sale Addendum (REV 7.2015) (c. 7.2016) SAMPLE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ernandez\Desktop\2A14-T-Short Sale Addendum (REV 7.2015) (c. 7.2016) SAMPLE_Page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8105775"/>
                          </a:xfrm>
                          <a:prstGeom prst="rect">
                            <a:avLst/>
                          </a:prstGeom>
                          <a:noFill/>
                          <a:ln>
                            <a:noFill/>
                          </a:ln>
                        </pic:spPr>
                      </pic:pic>
                    </a:graphicData>
                  </a:graphic>
                </wp:inline>
              </w:drawing>
            </w:r>
          </w:p>
        </w:tc>
      </w:tr>
      <w:tr w:rsidR="00183E77" w:rsidRPr="001A2DEE" w:rsidTr="00346138">
        <w:trPr>
          <w:trHeight w:val="150"/>
          <w:jc w:val="center"/>
        </w:trPr>
        <w:tc>
          <w:tcPr>
            <w:tcW w:w="10091" w:type="dxa"/>
            <w:gridSpan w:val="3"/>
          </w:tcPr>
          <w:p w:rsidR="00183E77" w:rsidRPr="001A2DEE" w:rsidRDefault="00183E77" w:rsidP="00754355">
            <w:pPr>
              <w:pStyle w:val="Pa168"/>
              <w:ind w:left="10" w:hanging="10"/>
              <w:rPr>
                <w:rFonts w:ascii="Times New Roman" w:hAnsi="Times New Roman"/>
                <w:color w:val="221E1F"/>
              </w:rPr>
            </w:pPr>
            <w:r>
              <w:rPr>
                <w:rFonts w:ascii="Times New Roman" w:hAnsi="Times New Roman"/>
                <w:noProof/>
                <w:color w:val="221E1F"/>
              </w:rPr>
              <w:lastRenderedPageBreak/>
              <w:drawing>
                <wp:inline distT="0" distB="0" distL="0" distR="0" wp14:anchorId="6B6238D3" wp14:editId="322AD643">
                  <wp:extent cx="6267450" cy="8105775"/>
                  <wp:effectExtent l="0" t="0" r="0" b="9525"/>
                  <wp:docPr id="2" name="Picture 2" descr="C:\Users\RHernandez\Desktop\2A14-T-Short Sale Addendum (REV 7.2015) (c. 7.2016) SAMPLE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ernandez\Desktop\2A14-T-Short Sale Addendum (REV 7.2015) (c. 7.2016) SAMPLE_Page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8105775"/>
                          </a:xfrm>
                          <a:prstGeom prst="rect">
                            <a:avLst/>
                          </a:prstGeom>
                          <a:noFill/>
                          <a:ln>
                            <a:noFill/>
                          </a:ln>
                        </pic:spPr>
                      </pic:pic>
                    </a:graphicData>
                  </a:graphic>
                </wp:inline>
              </w:drawing>
            </w:r>
          </w:p>
        </w:tc>
      </w:tr>
      <w:tr w:rsidR="00183E77" w:rsidRPr="001A2DEE" w:rsidTr="00BB6694">
        <w:trPr>
          <w:trHeight w:val="150"/>
          <w:jc w:val="center"/>
        </w:trPr>
        <w:tc>
          <w:tcPr>
            <w:tcW w:w="10091" w:type="dxa"/>
            <w:gridSpan w:val="3"/>
          </w:tcPr>
          <w:p w:rsidR="00183E77" w:rsidRPr="001A2DEE" w:rsidRDefault="00183E77" w:rsidP="00754355">
            <w:pPr>
              <w:pStyle w:val="Pa168"/>
              <w:ind w:left="10" w:hanging="10"/>
              <w:rPr>
                <w:rFonts w:ascii="Times New Roman" w:hAnsi="Times New Roman"/>
                <w:color w:val="221E1F"/>
              </w:rPr>
            </w:pPr>
            <w:r>
              <w:rPr>
                <w:rFonts w:ascii="Times New Roman" w:hAnsi="Times New Roman"/>
                <w:noProof/>
                <w:color w:val="221E1F"/>
              </w:rPr>
              <w:lastRenderedPageBreak/>
              <w:drawing>
                <wp:inline distT="0" distB="0" distL="0" distR="0" wp14:anchorId="306A997D" wp14:editId="048F1F63">
                  <wp:extent cx="6267450" cy="8105775"/>
                  <wp:effectExtent l="0" t="0" r="0" b="9525"/>
                  <wp:docPr id="3" name="Picture 3" descr="C:\Users\RHernandez\Desktop\2A14-T-Short Sale Addendum (REV 7.2015) (c. 7.2016) SAMPLE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ernandez\Desktop\2A14-T-Short Sale Addendum (REV 7.2015) (c. 7.2016) SAMPLE_Page_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450" cy="8105775"/>
                          </a:xfrm>
                          <a:prstGeom prst="rect">
                            <a:avLst/>
                          </a:prstGeom>
                          <a:noFill/>
                          <a:ln>
                            <a:noFill/>
                          </a:ln>
                        </pic:spPr>
                      </pic:pic>
                    </a:graphicData>
                  </a:graphic>
                </wp:inline>
              </w:drawing>
            </w:r>
            <w:r>
              <w:rPr>
                <w:rFonts w:ascii="Times New Roman" w:hAnsi="Times New Roman"/>
                <w:noProof/>
                <w:color w:val="221E1F"/>
              </w:rPr>
              <w:lastRenderedPageBreak/>
              <w:drawing>
                <wp:inline distT="0" distB="0" distL="0" distR="0" wp14:anchorId="01B3DDAE" wp14:editId="6C4BFEFA">
                  <wp:extent cx="6267450" cy="8105775"/>
                  <wp:effectExtent l="0" t="0" r="0" b="9525"/>
                  <wp:docPr id="4" name="Picture 4" descr="C:\Users\RHernandez\Desktop\2A14-T-Short Sale Addendum (REV 7.2015) (c. 7.2016) SAMPLE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ernandez\Desktop\2A14-T-Short Sale Addendum (REV 7.2015) (c. 7.2016) SAMPLE_Page_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0" cy="8105775"/>
                          </a:xfrm>
                          <a:prstGeom prst="rect">
                            <a:avLst/>
                          </a:prstGeom>
                          <a:noFill/>
                          <a:ln>
                            <a:noFill/>
                          </a:ln>
                        </pic:spPr>
                      </pic:pic>
                    </a:graphicData>
                  </a:graphic>
                </wp:inline>
              </w:drawing>
            </w:r>
          </w:p>
        </w:tc>
      </w:tr>
      <w:tr w:rsidR="00180B41" w:rsidRPr="001A2DEE" w:rsidTr="00754355">
        <w:trPr>
          <w:trHeight w:val="150"/>
          <w:jc w:val="center"/>
        </w:trPr>
        <w:tc>
          <w:tcPr>
            <w:tcW w:w="3445" w:type="dxa"/>
          </w:tcPr>
          <w:p w:rsidR="00180B41" w:rsidRDefault="00180B41" w:rsidP="00754355">
            <w:pPr>
              <w:rPr>
                <w:rFonts w:ascii="Times New Roman" w:hAnsi="Times New Roman"/>
              </w:rPr>
            </w:pPr>
            <w:r>
              <w:rPr>
                <w:rFonts w:ascii="Times New Roman" w:hAnsi="Times New Roman"/>
              </w:rPr>
              <w:lastRenderedPageBreak/>
              <w:t>494</w:t>
            </w:r>
          </w:p>
        </w:tc>
        <w:tc>
          <w:tcPr>
            <w:tcW w:w="3283" w:type="dxa"/>
          </w:tcPr>
          <w:p w:rsidR="00180B41" w:rsidRDefault="00180B41" w:rsidP="00180B41">
            <w:pPr>
              <w:autoSpaceDE w:val="0"/>
              <w:autoSpaceDN w:val="0"/>
              <w:adjustRightInd w:val="0"/>
              <w:rPr>
                <w:rFonts w:ascii="Goudy Oldstyle Std" w:hAnsi="Goudy Oldstyle Std"/>
                <w:color w:val="221E1F"/>
                <w:sz w:val="22"/>
                <w:szCs w:val="22"/>
              </w:rPr>
            </w:pPr>
            <w:r w:rsidRPr="00180B41">
              <w:rPr>
                <w:rFonts w:ascii="Goudy Oldstyle Std" w:hAnsi="Goudy Oldstyle Std"/>
                <w:color w:val="221E1F"/>
                <w:sz w:val="22"/>
                <w:szCs w:val="22"/>
              </w:rPr>
              <w:t>Weighted Averages: Comparable #1 is weighted</w:t>
            </w:r>
            <w:r>
              <w:rPr>
                <w:rFonts w:ascii="Goudy Oldstyle Std" w:hAnsi="Goudy Oldstyle Std"/>
                <w:color w:val="221E1F"/>
                <w:sz w:val="22"/>
                <w:szCs w:val="22"/>
              </w:rPr>
              <w:t xml:space="preserve"> 35%; Comparable #2 is 25%, and </w:t>
            </w:r>
            <w:r w:rsidRPr="00180B41">
              <w:rPr>
                <w:rFonts w:ascii="Goudy Oldstyle Std" w:hAnsi="Goudy Oldstyle Std"/>
                <w:color w:val="221E1F"/>
                <w:sz w:val="22"/>
                <w:szCs w:val="22"/>
              </w:rPr>
              <w:t>Comparable #3 is 40%. What is the estimated value of the subject?</w:t>
            </w:r>
          </w:p>
        </w:tc>
        <w:tc>
          <w:tcPr>
            <w:tcW w:w="3363" w:type="dxa"/>
          </w:tcPr>
          <w:p w:rsidR="00180B41" w:rsidRDefault="00180B41" w:rsidP="00754355">
            <w:pPr>
              <w:pStyle w:val="Pa168"/>
              <w:ind w:left="10" w:hanging="10"/>
              <w:rPr>
                <w:color w:val="221E1F"/>
                <w:sz w:val="22"/>
                <w:szCs w:val="22"/>
              </w:rPr>
            </w:pPr>
            <w:r w:rsidRPr="00180B41">
              <w:rPr>
                <w:color w:val="221E1F"/>
                <w:sz w:val="22"/>
                <w:szCs w:val="22"/>
              </w:rPr>
              <w:t>Weighted Averages: Comparable #1 is weighted</w:t>
            </w:r>
            <w:r>
              <w:rPr>
                <w:color w:val="221E1F"/>
                <w:sz w:val="22"/>
                <w:szCs w:val="22"/>
              </w:rPr>
              <w:t xml:space="preserve"> 25%; Comparable #2 is 40%, and Comparable #3 is 35</w:t>
            </w:r>
            <w:r w:rsidRPr="00180B41">
              <w:rPr>
                <w:color w:val="221E1F"/>
                <w:sz w:val="22"/>
                <w:szCs w:val="22"/>
              </w:rPr>
              <w:t>%. What is the estimated value of the subject?</w:t>
            </w:r>
          </w:p>
        </w:tc>
      </w:tr>
      <w:tr w:rsidR="00FC5BC4" w:rsidRPr="001A2DEE" w:rsidTr="00754355">
        <w:trPr>
          <w:trHeight w:val="150"/>
          <w:jc w:val="center"/>
        </w:trPr>
        <w:tc>
          <w:tcPr>
            <w:tcW w:w="3445" w:type="dxa"/>
          </w:tcPr>
          <w:p w:rsidR="00FC5BC4" w:rsidRDefault="00FC5BC4" w:rsidP="00754355">
            <w:pPr>
              <w:rPr>
                <w:rFonts w:ascii="Times New Roman" w:hAnsi="Times New Roman"/>
              </w:rPr>
            </w:pPr>
            <w:r>
              <w:rPr>
                <w:rFonts w:ascii="Times New Roman" w:hAnsi="Times New Roman"/>
              </w:rPr>
              <w:t>494, Table, Comp #1, Indicated value</w:t>
            </w:r>
          </w:p>
        </w:tc>
        <w:tc>
          <w:tcPr>
            <w:tcW w:w="3283" w:type="dxa"/>
          </w:tcPr>
          <w:p w:rsidR="00FC5BC4" w:rsidRPr="00EB3D14" w:rsidRDefault="00FC5BC4" w:rsidP="00EB3D14">
            <w:pPr>
              <w:autoSpaceDE w:val="0"/>
              <w:autoSpaceDN w:val="0"/>
              <w:adjustRightInd w:val="0"/>
              <w:rPr>
                <w:rFonts w:ascii="Goudy Oldstyle Std" w:hAnsi="Goudy Oldstyle Std"/>
                <w:color w:val="221E1F"/>
                <w:sz w:val="22"/>
                <w:szCs w:val="22"/>
              </w:rPr>
            </w:pPr>
            <w:r>
              <w:rPr>
                <w:rFonts w:ascii="Goudy Oldstyle Std" w:hAnsi="Goudy Oldstyle Std"/>
                <w:color w:val="221E1F"/>
                <w:sz w:val="22"/>
                <w:szCs w:val="22"/>
              </w:rPr>
              <w:t>$35,652</w:t>
            </w:r>
          </w:p>
        </w:tc>
        <w:tc>
          <w:tcPr>
            <w:tcW w:w="3363" w:type="dxa"/>
          </w:tcPr>
          <w:p w:rsidR="00FC5BC4" w:rsidRDefault="00FC5BC4" w:rsidP="00754355">
            <w:pPr>
              <w:pStyle w:val="Pa168"/>
              <w:ind w:left="10" w:hanging="10"/>
              <w:rPr>
                <w:color w:val="221E1F"/>
                <w:sz w:val="22"/>
                <w:szCs w:val="22"/>
              </w:rPr>
            </w:pPr>
            <w:r>
              <w:rPr>
                <w:color w:val="221E1F"/>
                <w:sz w:val="22"/>
                <w:szCs w:val="22"/>
              </w:rPr>
              <w:t>$35,625</w:t>
            </w:r>
          </w:p>
        </w:tc>
      </w:tr>
      <w:tr w:rsidR="00AE49EC" w:rsidRPr="001A2DEE" w:rsidTr="00754355">
        <w:trPr>
          <w:trHeight w:val="150"/>
          <w:jc w:val="center"/>
        </w:trPr>
        <w:tc>
          <w:tcPr>
            <w:tcW w:w="3445" w:type="dxa"/>
          </w:tcPr>
          <w:p w:rsidR="00AE49EC" w:rsidRDefault="00AE49EC" w:rsidP="00754355">
            <w:pPr>
              <w:rPr>
                <w:rFonts w:ascii="Times New Roman" w:hAnsi="Times New Roman"/>
              </w:rPr>
            </w:pPr>
            <w:r>
              <w:rPr>
                <w:rFonts w:ascii="Times New Roman" w:hAnsi="Times New Roman"/>
              </w:rPr>
              <w:t>495, Table, Comp #1</w:t>
            </w:r>
          </w:p>
        </w:tc>
        <w:tc>
          <w:tcPr>
            <w:tcW w:w="3283" w:type="dxa"/>
          </w:tcPr>
          <w:p w:rsidR="00AE49EC" w:rsidRDefault="00AE49EC" w:rsidP="00EB3D14">
            <w:pPr>
              <w:autoSpaceDE w:val="0"/>
              <w:autoSpaceDN w:val="0"/>
              <w:adjustRightInd w:val="0"/>
              <w:rPr>
                <w:rFonts w:ascii="Goudy Oldstyle Std" w:hAnsi="Goudy Oldstyle Std"/>
                <w:color w:val="221E1F"/>
                <w:sz w:val="22"/>
                <w:szCs w:val="22"/>
              </w:rPr>
            </w:pPr>
            <w:r>
              <w:rPr>
                <w:rFonts w:ascii="Goudy Oldstyle Std" w:hAnsi="Goudy Oldstyle Std"/>
                <w:color w:val="221E1F"/>
                <w:sz w:val="22"/>
                <w:szCs w:val="22"/>
              </w:rPr>
              <w:t>-$10,000</w:t>
            </w:r>
          </w:p>
          <w:p w:rsidR="00AE49EC" w:rsidRPr="00EB3D14" w:rsidRDefault="00AE49EC" w:rsidP="00EB3D14">
            <w:pPr>
              <w:autoSpaceDE w:val="0"/>
              <w:autoSpaceDN w:val="0"/>
              <w:adjustRightInd w:val="0"/>
              <w:rPr>
                <w:rFonts w:ascii="Goudy Oldstyle Std" w:hAnsi="Goudy Oldstyle Std"/>
                <w:color w:val="221E1F"/>
                <w:sz w:val="22"/>
                <w:szCs w:val="22"/>
              </w:rPr>
            </w:pPr>
            <w:r>
              <w:rPr>
                <w:rFonts w:ascii="Goudy Oldstyle Std" w:hAnsi="Goudy Oldstyle Std"/>
                <w:color w:val="221E1F"/>
                <w:sz w:val="22"/>
                <w:szCs w:val="22"/>
              </w:rPr>
              <w:t>Adj. Market Values $190,000</w:t>
            </w:r>
          </w:p>
        </w:tc>
        <w:tc>
          <w:tcPr>
            <w:tcW w:w="3363" w:type="dxa"/>
          </w:tcPr>
          <w:p w:rsidR="00AE49EC" w:rsidRDefault="00AE49EC" w:rsidP="00754355">
            <w:pPr>
              <w:pStyle w:val="Pa168"/>
              <w:ind w:left="10" w:hanging="10"/>
              <w:rPr>
                <w:color w:val="221E1F"/>
                <w:sz w:val="22"/>
                <w:szCs w:val="22"/>
              </w:rPr>
            </w:pPr>
            <w:r>
              <w:rPr>
                <w:color w:val="221E1F"/>
                <w:sz w:val="22"/>
                <w:szCs w:val="22"/>
              </w:rPr>
              <w:t>+$10,000</w:t>
            </w:r>
          </w:p>
          <w:p w:rsidR="00AE49EC" w:rsidRPr="00AE49EC" w:rsidRDefault="00AE49EC" w:rsidP="00AE49EC">
            <w:r>
              <w:rPr>
                <w:rFonts w:ascii="Goudy Oldstyle Std" w:hAnsi="Goudy Oldstyle Std"/>
                <w:color w:val="221E1F"/>
                <w:sz w:val="22"/>
                <w:szCs w:val="22"/>
              </w:rPr>
              <w:t>Adj. Market Values $210,000</w:t>
            </w:r>
          </w:p>
        </w:tc>
      </w:tr>
      <w:tr w:rsidR="00AE49EC" w:rsidRPr="001A2DEE" w:rsidTr="00754355">
        <w:trPr>
          <w:trHeight w:val="150"/>
          <w:jc w:val="center"/>
        </w:trPr>
        <w:tc>
          <w:tcPr>
            <w:tcW w:w="3445" w:type="dxa"/>
          </w:tcPr>
          <w:p w:rsidR="00AE49EC" w:rsidRDefault="00AE49EC" w:rsidP="00754355">
            <w:pPr>
              <w:rPr>
                <w:rFonts w:ascii="Times New Roman" w:hAnsi="Times New Roman"/>
              </w:rPr>
            </w:pPr>
            <w:r>
              <w:rPr>
                <w:rFonts w:ascii="Times New Roman" w:hAnsi="Times New Roman"/>
              </w:rPr>
              <w:t>495, Table, Comp #2</w:t>
            </w:r>
          </w:p>
        </w:tc>
        <w:tc>
          <w:tcPr>
            <w:tcW w:w="3283" w:type="dxa"/>
          </w:tcPr>
          <w:p w:rsidR="00AE49EC" w:rsidRDefault="00AE49EC" w:rsidP="00EB3D14">
            <w:pPr>
              <w:autoSpaceDE w:val="0"/>
              <w:autoSpaceDN w:val="0"/>
              <w:adjustRightInd w:val="0"/>
              <w:rPr>
                <w:rFonts w:ascii="Goudy Oldstyle Std" w:hAnsi="Goudy Oldstyle Std"/>
                <w:color w:val="221E1F"/>
                <w:sz w:val="22"/>
                <w:szCs w:val="22"/>
              </w:rPr>
            </w:pPr>
            <w:r>
              <w:rPr>
                <w:rFonts w:ascii="Goudy Oldstyle Std" w:hAnsi="Goudy Oldstyle Std"/>
                <w:color w:val="221E1F"/>
                <w:sz w:val="22"/>
                <w:szCs w:val="22"/>
              </w:rPr>
              <w:t>-$10,000</w:t>
            </w:r>
          </w:p>
          <w:p w:rsidR="00AE49EC" w:rsidRPr="00EB3D14" w:rsidRDefault="00AE49EC" w:rsidP="00EB3D14">
            <w:pPr>
              <w:autoSpaceDE w:val="0"/>
              <w:autoSpaceDN w:val="0"/>
              <w:adjustRightInd w:val="0"/>
              <w:rPr>
                <w:rFonts w:ascii="Goudy Oldstyle Std" w:hAnsi="Goudy Oldstyle Std"/>
                <w:color w:val="221E1F"/>
                <w:sz w:val="22"/>
                <w:szCs w:val="22"/>
              </w:rPr>
            </w:pPr>
            <w:r>
              <w:rPr>
                <w:rFonts w:ascii="Goudy Oldstyle Std" w:hAnsi="Goudy Oldstyle Std"/>
                <w:color w:val="221E1F"/>
                <w:sz w:val="22"/>
                <w:szCs w:val="22"/>
              </w:rPr>
              <w:t>Adj. Market Values $200,000</w:t>
            </w:r>
          </w:p>
        </w:tc>
        <w:tc>
          <w:tcPr>
            <w:tcW w:w="3363" w:type="dxa"/>
          </w:tcPr>
          <w:p w:rsidR="00AE49EC" w:rsidRDefault="00AE49EC" w:rsidP="00754355">
            <w:pPr>
              <w:pStyle w:val="Pa168"/>
              <w:ind w:left="10" w:hanging="10"/>
              <w:rPr>
                <w:color w:val="221E1F"/>
                <w:sz w:val="22"/>
                <w:szCs w:val="22"/>
              </w:rPr>
            </w:pPr>
            <w:r>
              <w:rPr>
                <w:color w:val="221E1F"/>
                <w:sz w:val="22"/>
                <w:szCs w:val="22"/>
              </w:rPr>
              <w:t>+$10,000</w:t>
            </w:r>
          </w:p>
          <w:p w:rsidR="00AE49EC" w:rsidRPr="00AE49EC" w:rsidRDefault="00AE49EC" w:rsidP="00AE49EC">
            <w:r>
              <w:rPr>
                <w:rFonts w:ascii="Goudy Oldstyle Std" w:hAnsi="Goudy Oldstyle Std"/>
                <w:color w:val="221E1F"/>
                <w:sz w:val="22"/>
                <w:szCs w:val="22"/>
              </w:rPr>
              <w:t>Adj. Market Values $210,000</w:t>
            </w:r>
          </w:p>
        </w:tc>
      </w:tr>
      <w:tr w:rsidR="00262668" w:rsidRPr="001A2DEE" w:rsidTr="00754355">
        <w:trPr>
          <w:trHeight w:val="150"/>
          <w:jc w:val="center"/>
        </w:trPr>
        <w:tc>
          <w:tcPr>
            <w:tcW w:w="3445" w:type="dxa"/>
          </w:tcPr>
          <w:p w:rsidR="00262668" w:rsidRDefault="00262668" w:rsidP="00754355">
            <w:pPr>
              <w:rPr>
                <w:rFonts w:ascii="Times New Roman" w:hAnsi="Times New Roman"/>
              </w:rPr>
            </w:pPr>
            <w:r>
              <w:rPr>
                <w:rFonts w:ascii="Times New Roman" w:hAnsi="Times New Roman"/>
              </w:rPr>
              <w:t>509</w:t>
            </w:r>
          </w:p>
        </w:tc>
        <w:tc>
          <w:tcPr>
            <w:tcW w:w="3283" w:type="dxa"/>
          </w:tcPr>
          <w:p w:rsidR="00262668" w:rsidRPr="00EB3D14" w:rsidRDefault="00262668" w:rsidP="00262668">
            <w:pPr>
              <w:autoSpaceDE w:val="0"/>
              <w:autoSpaceDN w:val="0"/>
              <w:adjustRightInd w:val="0"/>
              <w:rPr>
                <w:rFonts w:ascii="Goudy Oldstyle Std" w:hAnsi="Goudy Oldstyle Std"/>
                <w:color w:val="221E1F"/>
                <w:sz w:val="22"/>
                <w:szCs w:val="22"/>
              </w:rPr>
            </w:pPr>
            <w:r w:rsidRPr="00262668">
              <w:rPr>
                <w:rFonts w:ascii="Goudy Oldstyle Std" w:hAnsi="Goudy Oldstyle Std"/>
                <w:color w:val="221E1F"/>
                <w:sz w:val="22"/>
                <w:szCs w:val="22"/>
              </w:rPr>
              <w:t>The Bowers will only owe capital ga</w:t>
            </w:r>
            <w:r>
              <w:rPr>
                <w:rFonts w:ascii="Goudy Oldstyle Std" w:hAnsi="Goudy Oldstyle Std"/>
                <w:color w:val="221E1F"/>
                <w:sz w:val="22"/>
                <w:szCs w:val="22"/>
              </w:rPr>
              <w:t xml:space="preserve">ins tax on a total gain of over </w:t>
            </w:r>
            <w:r w:rsidRPr="00262668">
              <w:rPr>
                <w:rFonts w:ascii="Goudy Oldstyle Std" w:hAnsi="Goudy Oldstyle Std"/>
                <w:color w:val="221E1F"/>
                <w:sz w:val="22"/>
                <w:szCs w:val="22"/>
              </w:rPr>
              <w:t>$700,000.</w:t>
            </w:r>
          </w:p>
        </w:tc>
        <w:tc>
          <w:tcPr>
            <w:tcW w:w="3363" w:type="dxa"/>
          </w:tcPr>
          <w:p w:rsidR="00262668" w:rsidRDefault="00262668" w:rsidP="00754355">
            <w:pPr>
              <w:pStyle w:val="Pa168"/>
              <w:ind w:left="10" w:hanging="10"/>
              <w:rPr>
                <w:color w:val="221E1F"/>
                <w:sz w:val="22"/>
                <w:szCs w:val="22"/>
              </w:rPr>
            </w:pPr>
            <w:r w:rsidRPr="00262668">
              <w:rPr>
                <w:color w:val="221E1F"/>
                <w:sz w:val="22"/>
                <w:szCs w:val="22"/>
              </w:rPr>
              <w:t>The Bowers will only owe capital ga</w:t>
            </w:r>
            <w:r>
              <w:rPr>
                <w:color w:val="221E1F"/>
                <w:sz w:val="22"/>
                <w:szCs w:val="22"/>
              </w:rPr>
              <w:t>ins tax on a total gain of over $5</w:t>
            </w:r>
            <w:r w:rsidRPr="00262668">
              <w:rPr>
                <w:color w:val="221E1F"/>
                <w:sz w:val="22"/>
                <w:szCs w:val="22"/>
              </w:rPr>
              <w:t>00,000.</w:t>
            </w:r>
          </w:p>
        </w:tc>
      </w:tr>
      <w:tr w:rsidR="00EB3D14" w:rsidRPr="001A2DEE" w:rsidTr="00754355">
        <w:trPr>
          <w:trHeight w:val="150"/>
          <w:jc w:val="center"/>
        </w:trPr>
        <w:tc>
          <w:tcPr>
            <w:tcW w:w="3445" w:type="dxa"/>
          </w:tcPr>
          <w:p w:rsidR="00EB3D14" w:rsidRDefault="00EB3D14" w:rsidP="00754355">
            <w:pPr>
              <w:rPr>
                <w:rFonts w:ascii="Times New Roman" w:hAnsi="Times New Roman"/>
              </w:rPr>
            </w:pPr>
            <w:r>
              <w:rPr>
                <w:rFonts w:ascii="Times New Roman" w:hAnsi="Times New Roman"/>
              </w:rPr>
              <w:t>514, 12</w:t>
            </w:r>
          </w:p>
        </w:tc>
        <w:tc>
          <w:tcPr>
            <w:tcW w:w="3283" w:type="dxa"/>
          </w:tcPr>
          <w:p w:rsidR="00EB3D14" w:rsidRPr="00EB3D14" w:rsidRDefault="00EB3D14" w:rsidP="00EB3D14">
            <w:pPr>
              <w:autoSpaceDE w:val="0"/>
              <w:autoSpaceDN w:val="0"/>
              <w:adjustRightInd w:val="0"/>
              <w:rPr>
                <w:rFonts w:ascii="Goudy Oldstyle Std" w:hAnsi="Goudy Oldstyle Std"/>
                <w:color w:val="221E1F"/>
                <w:sz w:val="22"/>
                <w:szCs w:val="22"/>
              </w:rPr>
            </w:pPr>
            <w:r w:rsidRPr="00EB3D14">
              <w:rPr>
                <w:rFonts w:ascii="Goudy Oldstyle Std" w:hAnsi="Goudy Oldstyle Std"/>
                <w:color w:val="221E1F"/>
                <w:sz w:val="22"/>
                <w:szCs w:val="22"/>
              </w:rPr>
              <w:t>In question 9, if the property were an invest</w:t>
            </w:r>
            <w:r w:rsidRPr="00EB3D14">
              <w:rPr>
                <w:rFonts w:ascii="Goudy Oldstyle Std" w:hAnsi="Goudy Oldstyle Std"/>
                <w:color w:val="221E1F"/>
                <w:sz w:val="22"/>
                <w:szCs w:val="22"/>
              </w:rPr>
              <w:softHyphen/>
              <w:t xml:space="preserve">ment property, how much of the gain would be subject to income tax? </w:t>
            </w:r>
          </w:p>
        </w:tc>
        <w:tc>
          <w:tcPr>
            <w:tcW w:w="3363" w:type="dxa"/>
          </w:tcPr>
          <w:p w:rsidR="00EB3D14" w:rsidRDefault="00EB3D14" w:rsidP="00754355">
            <w:pPr>
              <w:pStyle w:val="Pa168"/>
              <w:ind w:left="10" w:hanging="10"/>
              <w:rPr>
                <w:rFonts w:ascii="Times New Roman" w:hAnsi="Times New Roman"/>
                <w:color w:val="221E1F"/>
              </w:rPr>
            </w:pPr>
            <w:r>
              <w:rPr>
                <w:color w:val="221E1F"/>
                <w:sz w:val="22"/>
                <w:szCs w:val="22"/>
              </w:rPr>
              <w:t>In question 11</w:t>
            </w:r>
            <w:r w:rsidRPr="00EB3D14">
              <w:rPr>
                <w:color w:val="221E1F"/>
                <w:sz w:val="22"/>
                <w:szCs w:val="22"/>
              </w:rPr>
              <w:t>, if the property were an invest</w:t>
            </w:r>
            <w:r w:rsidRPr="00EB3D14">
              <w:rPr>
                <w:color w:val="221E1F"/>
                <w:sz w:val="22"/>
                <w:szCs w:val="22"/>
              </w:rPr>
              <w:softHyphen/>
              <w:t>ment property, how much of the gain would be subject to income tax?</w:t>
            </w:r>
          </w:p>
        </w:tc>
      </w:tr>
      <w:tr w:rsidR="00183E77" w:rsidRPr="001A2DEE" w:rsidTr="00754355">
        <w:trPr>
          <w:trHeight w:val="150"/>
          <w:jc w:val="center"/>
        </w:trPr>
        <w:tc>
          <w:tcPr>
            <w:tcW w:w="3445" w:type="dxa"/>
          </w:tcPr>
          <w:p w:rsidR="00183E77" w:rsidRPr="001A2DEE" w:rsidRDefault="00A129DE" w:rsidP="00754355">
            <w:pPr>
              <w:rPr>
                <w:rFonts w:ascii="Times New Roman" w:hAnsi="Times New Roman"/>
              </w:rPr>
            </w:pPr>
            <w:r>
              <w:rPr>
                <w:rFonts w:ascii="Times New Roman" w:hAnsi="Times New Roman"/>
              </w:rPr>
              <w:t>808, Unit 3, 1.</w:t>
            </w:r>
          </w:p>
        </w:tc>
        <w:tc>
          <w:tcPr>
            <w:tcW w:w="3283" w:type="dxa"/>
          </w:tcPr>
          <w:p w:rsidR="00183E77" w:rsidRPr="001A2DEE" w:rsidRDefault="00A129DE" w:rsidP="00754355">
            <w:pPr>
              <w:rPr>
                <w:rFonts w:ascii="Times New Roman" w:hAnsi="Times New Roman"/>
              </w:rPr>
            </w:pPr>
            <w:r>
              <w:rPr>
                <w:rFonts w:ascii="Times New Roman" w:hAnsi="Times New Roman"/>
              </w:rPr>
              <w:t>c</w:t>
            </w:r>
          </w:p>
        </w:tc>
        <w:tc>
          <w:tcPr>
            <w:tcW w:w="3363" w:type="dxa"/>
          </w:tcPr>
          <w:p w:rsidR="00183E77" w:rsidRPr="001A2DEE" w:rsidRDefault="00A129DE" w:rsidP="00754355">
            <w:pPr>
              <w:pStyle w:val="Pa168"/>
              <w:ind w:left="10" w:hanging="10"/>
              <w:rPr>
                <w:rFonts w:ascii="Times New Roman" w:hAnsi="Times New Roman"/>
                <w:color w:val="221E1F"/>
              </w:rPr>
            </w:pPr>
            <w:r>
              <w:rPr>
                <w:rFonts w:ascii="Times New Roman" w:hAnsi="Times New Roman"/>
                <w:color w:val="221E1F"/>
              </w:rPr>
              <w:t>b</w:t>
            </w:r>
          </w:p>
        </w:tc>
      </w:tr>
      <w:tr w:rsidR="006A171E" w:rsidRPr="001A2DEE" w:rsidTr="00754355">
        <w:trPr>
          <w:trHeight w:val="150"/>
          <w:jc w:val="center"/>
        </w:trPr>
        <w:tc>
          <w:tcPr>
            <w:tcW w:w="3445" w:type="dxa"/>
          </w:tcPr>
          <w:p w:rsidR="006A171E" w:rsidRDefault="006A171E" w:rsidP="00754355">
            <w:pPr>
              <w:rPr>
                <w:rFonts w:ascii="Times New Roman" w:hAnsi="Times New Roman"/>
              </w:rPr>
            </w:pPr>
            <w:r>
              <w:rPr>
                <w:rFonts w:ascii="Times New Roman" w:hAnsi="Times New Roman"/>
              </w:rPr>
              <w:t xml:space="preserve">808, Unit 3, </w:t>
            </w:r>
            <w:r w:rsidR="003214F7">
              <w:rPr>
                <w:rFonts w:ascii="Times New Roman" w:hAnsi="Times New Roman"/>
              </w:rPr>
              <w:t>12</w:t>
            </w:r>
          </w:p>
        </w:tc>
        <w:tc>
          <w:tcPr>
            <w:tcW w:w="3283" w:type="dxa"/>
          </w:tcPr>
          <w:p w:rsidR="006A171E" w:rsidRDefault="006A171E" w:rsidP="00754355">
            <w:pPr>
              <w:rPr>
                <w:rFonts w:ascii="Times New Roman" w:hAnsi="Times New Roman"/>
              </w:rPr>
            </w:pPr>
            <w:r>
              <w:rPr>
                <w:rFonts w:ascii="Times New Roman" w:hAnsi="Times New Roman"/>
              </w:rPr>
              <w:t>a</w:t>
            </w:r>
          </w:p>
        </w:tc>
        <w:tc>
          <w:tcPr>
            <w:tcW w:w="3363" w:type="dxa"/>
          </w:tcPr>
          <w:p w:rsidR="006A171E" w:rsidRDefault="006A171E" w:rsidP="00754355">
            <w:pPr>
              <w:pStyle w:val="Pa168"/>
              <w:ind w:left="10" w:hanging="10"/>
              <w:rPr>
                <w:rFonts w:ascii="Times New Roman" w:hAnsi="Times New Roman"/>
                <w:color w:val="221E1F"/>
              </w:rPr>
            </w:pPr>
            <w:r>
              <w:rPr>
                <w:rFonts w:ascii="Times New Roman" w:hAnsi="Times New Roman"/>
                <w:color w:val="221E1F"/>
              </w:rPr>
              <w:t>c</w:t>
            </w:r>
          </w:p>
        </w:tc>
      </w:tr>
      <w:tr w:rsidR="00A129DE" w:rsidRPr="001A2DEE" w:rsidTr="00754355">
        <w:trPr>
          <w:trHeight w:val="150"/>
          <w:jc w:val="center"/>
        </w:trPr>
        <w:tc>
          <w:tcPr>
            <w:tcW w:w="3445" w:type="dxa"/>
          </w:tcPr>
          <w:p w:rsidR="00A129DE" w:rsidRPr="001A2DEE" w:rsidRDefault="00710CFF" w:rsidP="00754355">
            <w:pPr>
              <w:rPr>
                <w:rFonts w:ascii="Times New Roman" w:hAnsi="Times New Roman"/>
              </w:rPr>
            </w:pPr>
            <w:r>
              <w:rPr>
                <w:rFonts w:ascii="Times New Roman" w:hAnsi="Times New Roman"/>
              </w:rPr>
              <w:t>809, Unit 5, 19</w:t>
            </w:r>
          </w:p>
        </w:tc>
        <w:tc>
          <w:tcPr>
            <w:tcW w:w="3283" w:type="dxa"/>
          </w:tcPr>
          <w:p w:rsidR="00A129DE" w:rsidRPr="001A2DEE" w:rsidRDefault="00710CFF" w:rsidP="00754355">
            <w:pPr>
              <w:rPr>
                <w:rFonts w:ascii="Times New Roman" w:hAnsi="Times New Roman"/>
              </w:rPr>
            </w:pPr>
            <w:r>
              <w:rPr>
                <w:rFonts w:ascii="Times New Roman" w:hAnsi="Times New Roman"/>
              </w:rPr>
              <w:t>c</w:t>
            </w:r>
          </w:p>
        </w:tc>
        <w:tc>
          <w:tcPr>
            <w:tcW w:w="3363" w:type="dxa"/>
          </w:tcPr>
          <w:p w:rsidR="00A129DE" w:rsidRPr="001A2DEE" w:rsidRDefault="00710CFF" w:rsidP="00754355">
            <w:pPr>
              <w:pStyle w:val="Pa168"/>
              <w:ind w:left="10" w:hanging="10"/>
              <w:rPr>
                <w:rFonts w:ascii="Times New Roman" w:hAnsi="Times New Roman"/>
                <w:color w:val="221E1F"/>
              </w:rPr>
            </w:pPr>
            <w:r>
              <w:rPr>
                <w:rFonts w:ascii="Times New Roman" w:hAnsi="Times New Roman"/>
                <w:color w:val="221E1F"/>
              </w:rPr>
              <w:t>d</w:t>
            </w:r>
          </w:p>
        </w:tc>
      </w:tr>
      <w:tr w:rsidR="00710CFF" w:rsidRPr="001A2DEE" w:rsidTr="00754355">
        <w:trPr>
          <w:trHeight w:val="150"/>
          <w:jc w:val="center"/>
        </w:trPr>
        <w:tc>
          <w:tcPr>
            <w:tcW w:w="3445" w:type="dxa"/>
          </w:tcPr>
          <w:p w:rsidR="00710CFF" w:rsidRPr="001A2DEE" w:rsidRDefault="00710CFF" w:rsidP="00754355">
            <w:pPr>
              <w:rPr>
                <w:rFonts w:ascii="Times New Roman" w:hAnsi="Times New Roman"/>
              </w:rPr>
            </w:pPr>
            <w:r>
              <w:rPr>
                <w:rFonts w:ascii="Times New Roman" w:hAnsi="Times New Roman"/>
              </w:rPr>
              <w:t>809, Unit 5, 20</w:t>
            </w:r>
          </w:p>
        </w:tc>
        <w:tc>
          <w:tcPr>
            <w:tcW w:w="3283" w:type="dxa"/>
          </w:tcPr>
          <w:p w:rsidR="00710CFF" w:rsidRPr="001A2DEE" w:rsidRDefault="00710CFF" w:rsidP="00754355">
            <w:pPr>
              <w:rPr>
                <w:rFonts w:ascii="Times New Roman" w:hAnsi="Times New Roman"/>
              </w:rPr>
            </w:pPr>
            <w:r>
              <w:rPr>
                <w:rFonts w:ascii="Times New Roman" w:hAnsi="Times New Roman"/>
              </w:rPr>
              <w:t>e</w:t>
            </w:r>
          </w:p>
        </w:tc>
        <w:tc>
          <w:tcPr>
            <w:tcW w:w="3363" w:type="dxa"/>
          </w:tcPr>
          <w:p w:rsidR="00710CFF" w:rsidRPr="001A2DEE" w:rsidRDefault="00710CFF" w:rsidP="00754355">
            <w:pPr>
              <w:pStyle w:val="Pa168"/>
              <w:ind w:left="10" w:hanging="10"/>
              <w:rPr>
                <w:rFonts w:ascii="Times New Roman" w:hAnsi="Times New Roman"/>
                <w:color w:val="221E1F"/>
              </w:rPr>
            </w:pPr>
            <w:r>
              <w:rPr>
                <w:rFonts w:ascii="Times New Roman" w:hAnsi="Times New Roman"/>
                <w:color w:val="221E1F"/>
              </w:rPr>
              <w:t>d</w:t>
            </w:r>
          </w:p>
        </w:tc>
      </w:tr>
      <w:tr w:rsidR="00363AEA" w:rsidRPr="001A2DEE" w:rsidTr="00754355">
        <w:trPr>
          <w:trHeight w:val="150"/>
          <w:jc w:val="center"/>
        </w:trPr>
        <w:tc>
          <w:tcPr>
            <w:tcW w:w="3445" w:type="dxa"/>
          </w:tcPr>
          <w:p w:rsidR="00363AEA" w:rsidRDefault="00363AEA" w:rsidP="00754355">
            <w:pPr>
              <w:rPr>
                <w:rFonts w:ascii="Times New Roman" w:hAnsi="Times New Roman"/>
              </w:rPr>
            </w:pPr>
            <w:r>
              <w:rPr>
                <w:rFonts w:ascii="Times New Roman" w:hAnsi="Times New Roman"/>
              </w:rPr>
              <w:t>810, Unit 7, 25</w:t>
            </w:r>
          </w:p>
        </w:tc>
        <w:tc>
          <w:tcPr>
            <w:tcW w:w="3283" w:type="dxa"/>
          </w:tcPr>
          <w:p w:rsidR="00363AEA" w:rsidRDefault="00363AEA" w:rsidP="00754355">
            <w:pPr>
              <w:rPr>
                <w:rFonts w:ascii="Times New Roman" w:hAnsi="Times New Roman"/>
              </w:rPr>
            </w:pPr>
            <w:r>
              <w:rPr>
                <w:rFonts w:ascii="Times New Roman" w:hAnsi="Times New Roman"/>
              </w:rPr>
              <w:t>c</w:t>
            </w:r>
          </w:p>
        </w:tc>
        <w:tc>
          <w:tcPr>
            <w:tcW w:w="3363" w:type="dxa"/>
          </w:tcPr>
          <w:p w:rsidR="00363AEA" w:rsidRDefault="00363AEA" w:rsidP="00754355">
            <w:pPr>
              <w:pStyle w:val="Pa168"/>
              <w:ind w:left="10" w:hanging="10"/>
              <w:rPr>
                <w:rFonts w:ascii="Times New Roman" w:hAnsi="Times New Roman"/>
                <w:color w:val="221E1F"/>
              </w:rPr>
            </w:pPr>
            <w:r>
              <w:rPr>
                <w:rFonts w:ascii="Times New Roman" w:hAnsi="Times New Roman"/>
                <w:color w:val="221E1F"/>
              </w:rPr>
              <w:t>d</w:t>
            </w:r>
          </w:p>
        </w:tc>
      </w:tr>
      <w:tr w:rsidR="00363AEA" w:rsidRPr="001A2DEE" w:rsidTr="00754355">
        <w:trPr>
          <w:trHeight w:val="150"/>
          <w:jc w:val="center"/>
        </w:trPr>
        <w:tc>
          <w:tcPr>
            <w:tcW w:w="3445" w:type="dxa"/>
          </w:tcPr>
          <w:p w:rsidR="00363AEA" w:rsidRDefault="00363AEA" w:rsidP="00754355">
            <w:pPr>
              <w:rPr>
                <w:rFonts w:ascii="Times New Roman" w:hAnsi="Times New Roman"/>
              </w:rPr>
            </w:pPr>
            <w:r>
              <w:rPr>
                <w:rFonts w:ascii="Times New Roman" w:hAnsi="Times New Roman"/>
              </w:rPr>
              <w:t>812, Unit 13, 9</w:t>
            </w:r>
          </w:p>
        </w:tc>
        <w:tc>
          <w:tcPr>
            <w:tcW w:w="3283" w:type="dxa"/>
          </w:tcPr>
          <w:p w:rsidR="00363AEA" w:rsidRDefault="00363AEA" w:rsidP="00754355">
            <w:pPr>
              <w:rPr>
                <w:rFonts w:ascii="Times New Roman" w:hAnsi="Times New Roman"/>
              </w:rPr>
            </w:pPr>
            <w:r>
              <w:rPr>
                <w:rFonts w:ascii="Times New Roman" w:hAnsi="Times New Roman"/>
              </w:rPr>
              <w:t>c</w:t>
            </w:r>
          </w:p>
        </w:tc>
        <w:tc>
          <w:tcPr>
            <w:tcW w:w="3363" w:type="dxa"/>
          </w:tcPr>
          <w:p w:rsidR="00363AEA" w:rsidRDefault="00363AEA" w:rsidP="00754355">
            <w:pPr>
              <w:pStyle w:val="Pa168"/>
              <w:ind w:left="10" w:hanging="10"/>
              <w:rPr>
                <w:rFonts w:ascii="Times New Roman" w:hAnsi="Times New Roman"/>
                <w:color w:val="221E1F"/>
              </w:rPr>
            </w:pPr>
            <w:r>
              <w:rPr>
                <w:rFonts w:ascii="Times New Roman" w:hAnsi="Times New Roman"/>
                <w:color w:val="221E1F"/>
              </w:rPr>
              <w:t>b</w:t>
            </w:r>
          </w:p>
        </w:tc>
      </w:tr>
      <w:tr w:rsidR="00363AEA" w:rsidRPr="001A2DEE" w:rsidTr="00754355">
        <w:trPr>
          <w:trHeight w:val="150"/>
          <w:jc w:val="center"/>
        </w:trPr>
        <w:tc>
          <w:tcPr>
            <w:tcW w:w="3445" w:type="dxa"/>
          </w:tcPr>
          <w:p w:rsidR="00363AEA" w:rsidRDefault="00363AEA" w:rsidP="00754355">
            <w:pPr>
              <w:rPr>
                <w:rFonts w:ascii="Times New Roman" w:hAnsi="Times New Roman"/>
              </w:rPr>
            </w:pPr>
            <w:r>
              <w:rPr>
                <w:rFonts w:ascii="Times New Roman" w:hAnsi="Times New Roman"/>
              </w:rPr>
              <w:t>814, Unit 17, 29</w:t>
            </w:r>
          </w:p>
        </w:tc>
        <w:tc>
          <w:tcPr>
            <w:tcW w:w="3283" w:type="dxa"/>
          </w:tcPr>
          <w:p w:rsidR="00363AEA" w:rsidRPr="00363AEA" w:rsidRDefault="00363AEA" w:rsidP="00363AEA">
            <w:pPr>
              <w:autoSpaceDE w:val="0"/>
              <w:autoSpaceDN w:val="0"/>
              <w:adjustRightInd w:val="0"/>
              <w:rPr>
                <w:rFonts w:ascii="Goudy Oldstyle Std" w:hAnsi="Goudy Oldstyle Std"/>
                <w:color w:val="221E1F"/>
                <w:sz w:val="22"/>
                <w:szCs w:val="22"/>
              </w:rPr>
            </w:pPr>
            <w:r>
              <w:rPr>
                <w:rFonts w:ascii="Goudy Oldstyle Std" w:hAnsi="Goudy Oldstyle Std"/>
                <w:color w:val="221E1F"/>
                <w:sz w:val="22"/>
                <w:szCs w:val="22"/>
              </w:rPr>
              <w:t xml:space="preserve">$1,000 per month × 125 (GRM) = </w:t>
            </w:r>
            <w:r w:rsidRPr="00363AEA">
              <w:rPr>
                <w:rFonts w:ascii="Goudy Oldstyle Std" w:hAnsi="Goudy Oldstyle Std"/>
                <w:color w:val="221E1F"/>
                <w:sz w:val="22"/>
                <w:szCs w:val="22"/>
              </w:rPr>
              <w:t>$125,000 (value)</w:t>
            </w:r>
          </w:p>
        </w:tc>
        <w:tc>
          <w:tcPr>
            <w:tcW w:w="3363" w:type="dxa"/>
          </w:tcPr>
          <w:p w:rsidR="00363AEA" w:rsidRPr="00363AEA" w:rsidRDefault="00363AEA" w:rsidP="00363AEA">
            <w:pPr>
              <w:autoSpaceDE w:val="0"/>
              <w:autoSpaceDN w:val="0"/>
              <w:adjustRightInd w:val="0"/>
              <w:rPr>
                <w:rFonts w:ascii="Goudy Oldstyle Std" w:hAnsi="Goudy Oldstyle Std"/>
                <w:color w:val="221E1F"/>
                <w:sz w:val="22"/>
                <w:szCs w:val="22"/>
              </w:rPr>
            </w:pPr>
            <w:r>
              <w:rPr>
                <w:rFonts w:ascii="Goudy Oldstyle Std" w:hAnsi="Goudy Oldstyle Std"/>
                <w:color w:val="221E1F"/>
                <w:sz w:val="22"/>
                <w:szCs w:val="22"/>
              </w:rPr>
              <w:t>$1,000 per month × 125 (GRM) × 2 units= $250</w:t>
            </w:r>
            <w:r w:rsidRPr="00363AEA">
              <w:rPr>
                <w:rFonts w:ascii="Goudy Oldstyle Std" w:hAnsi="Goudy Oldstyle Std"/>
                <w:color w:val="221E1F"/>
                <w:sz w:val="22"/>
                <w:szCs w:val="22"/>
              </w:rPr>
              <w:t>,000 (value)</w:t>
            </w:r>
          </w:p>
        </w:tc>
      </w:tr>
      <w:tr w:rsidR="00363AEA" w:rsidRPr="001A2DEE" w:rsidTr="00754355">
        <w:trPr>
          <w:trHeight w:val="150"/>
          <w:jc w:val="center"/>
        </w:trPr>
        <w:tc>
          <w:tcPr>
            <w:tcW w:w="3445" w:type="dxa"/>
          </w:tcPr>
          <w:p w:rsidR="00363AEA" w:rsidRDefault="00363AEA" w:rsidP="00754355">
            <w:pPr>
              <w:rPr>
                <w:rFonts w:ascii="Times New Roman" w:hAnsi="Times New Roman"/>
              </w:rPr>
            </w:pPr>
            <w:r>
              <w:rPr>
                <w:rFonts w:ascii="Times New Roman" w:hAnsi="Times New Roman"/>
              </w:rPr>
              <w:t>814, Unit 17, 33</w:t>
            </w:r>
          </w:p>
        </w:tc>
        <w:tc>
          <w:tcPr>
            <w:tcW w:w="3283" w:type="dxa"/>
          </w:tcPr>
          <w:p w:rsidR="00363AEA" w:rsidRDefault="00363AEA" w:rsidP="00754355">
            <w:pPr>
              <w:rPr>
                <w:rFonts w:ascii="Times New Roman" w:hAnsi="Times New Roman"/>
              </w:rPr>
            </w:pPr>
            <w:r>
              <w:rPr>
                <w:rFonts w:ascii="Times New Roman" w:hAnsi="Times New Roman"/>
              </w:rPr>
              <w:t>d</w:t>
            </w:r>
          </w:p>
        </w:tc>
        <w:tc>
          <w:tcPr>
            <w:tcW w:w="3363" w:type="dxa"/>
          </w:tcPr>
          <w:p w:rsidR="00363AEA" w:rsidRDefault="00363AEA" w:rsidP="00754355">
            <w:pPr>
              <w:pStyle w:val="Pa168"/>
              <w:ind w:left="10" w:hanging="10"/>
              <w:rPr>
                <w:rFonts w:ascii="Times New Roman" w:hAnsi="Times New Roman"/>
                <w:color w:val="221E1F"/>
              </w:rPr>
            </w:pPr>
            <w:r>
              <w:rPr>
                <w:rFonts w:ascii="Times New Roman" w:hAnsi="Times New Roman"/>
                <w:color w:val="221E1F"/>
              </w:rPr>
              <w:t>c</w:t>
            </w:r>
          </w:p>
        </w:tc>
      </w:tr>
      <w:tr w:rsidR="00710CFF" w:rsidRPr="001A2DEE" w:rsidTr="00754355">
        <w:trPr>
          <w:trHeight w:val="150"/>
          <w:jc w:val="center"/>
        </w:trPr>
        <w:tc>
          <w:tcPr>
            <w:tcW w:w="3445" w:type="dxa"/>
          </w:tcPr>
          <w:p w:rsidR="00710CFF" w:rsidRPr="001A2DEE" w:rsidRDefault="00710CFF" w:rsidP="00754355">
            <w:pPr>
              <w:rPr>
                <w:rFonts w:ascii="Times New Roman" w:hAnsi="Times New Roman"/>
              </w:rPr>
            </w:pPr>
            <w:r>
              <w:rPr>
                <w:rFonts w:ascii="Times New Roman" w:hAnsi="Times New Roman"/>
              </w:rPr>
              <w:t>820, Appendix A, 1</w:t>
            </w:r>
          </w:p>
        </w:tc>
        <w:tc>
          <w:tcPr>
            <w:tcW w:w="3283" w:type="dxa"/>
          </w:tcPr>
          <w:p w:rsidR="00710CFF" w:rsidRPr="001A2DEE" w:rsidRDefault="00710CFF" w:rsidP="00754355">
            <w:pPr>
              <w:rPr>
                <w:rFonts w:ascii="Times New Roman" w:hAnsi="Times New Roman"/>
              </w:rPr>
            </w:pPr>
            <w:r>
              <w:rPr>
                <w:rFonts w:ascii="Times New Roman" w:hAnsi="Times New Roman"/>
              </w:rPr>
              <w:t>a</w:t>
            </w:r>
          </w:p>
        </w:tc>
        <w:tc>
          <w:tcPr>
            <w:tcW w:w="3363" w:type="dxa"/>
          </w:tcPr>
          <w:p w:rsidR="00710CFF" w:rsidRPr="001A2DEE" w:rsidRDefault="00710CFF" w:rsidP="00754355">
            <w:pPr>
              <w:pStyle w:val="Pa168"/>
              <w:ind w:left="10" w:hanging="10"/>
              <w:rPr>
                <w:rFonts w:ascii="Times New Roman" w:hAnsi="Times New Roman"/>
                <w:color w:val="221E1F"/>
              </w:rPr>
            </w:pPr>
            <w:r>
              <w:rPr>
                <w:rFonts w:ascii="Times New Roman" w:hAnsi="Times New Roman"/>
                <w:color w:val="221E1F"/>
              </w:rPr>
              <w:t>c</w:t>
            </w:r>
          </w:p>
        </w:tc>
      </w:tr>
      <w:tr w:rsidR="00944660" w:rsidRPr="001A2DEE" w:rsidTr="00754355">
        <w:trPr>
          <w:trHeight w:val="150"/>
          <w:jc w:val="center"/>
        </w:trPr>
        <w:tc>
          <w:tcPr>
            <w:tcW w:w="3445" w:type="dxa"/>
          </w:tcPr>
          <w:p w:rsidR="00944660" w:rsidRDefault="00944660" w:rsidP="0073784C">
            <w:pPr>
              <w:rPr>
                <w:rFonts w:ascii="Times New Roman" w:hAnsi="Times New Roman"/>
              </w:rPr>
            </w:pPr>
            <w:r>
              <w:rPr>
                <w:rFonts w:ascii="Times New Roman" w:hAnsi="Times New Roman"/>
              </w:rPr>
              <w:t>615-637, Appendix A</w:t>
            </w:r>
          </w:p>
        </w:tc>
        <w:tc>
          <w:tcPr>
            <w:tcW w:w="3283" w:type="dxa"/>
          </w:tcPr>
          <w:p w:rsidR="00944660" w:rsidRDefault="00F20029" w:rsidP="00754355">
            <w:pPr>
              <w:rPr>
                <w:rFonts w:ascii="Times New Roman" w:hAnsi="Times New Roman"/>
              </w:rPr>
            </w:pPr>
            <w:r>
              <w:rPr>
                <w:rFonts w:ascii="Times New Roman" w:hAnsi="Times New Roman"/>
              </w:rPr>
              <w:t>License Law and Rule Comments</w:t>
            </w:r>
          </w:p>
        </w:tc>
        <w:tc>
          <w:tcPr>
            <w:tcW w:w="3363" w:type="dxa"/>
          </w:tcPr>
          <w:p w:rsidR="00944660" w:rsidRDefault="00F20029" w:rsidP="0073784C">
            <w:pPr>
              <w:rPr>
                <w:rFonts w:ascii="Times New Roman" w:hAnsi="Times New Roman"/>
              </w:rPr>
            </w:pPr>
            <w:r>
              <w:rPr>
                <w:rFonts w:ascii="Times New Roman" w:hAnsi="Times New Roman"/>
              </w:rPr>
              <w:t>License Law and Rule Comments</w:t>
            </w:r>
          </w:p>
          <w:p w:rsidR="00F20029" w:rsidRDefault="00F20029" w:rsidP="0073784C">
            <w:pPr>
              <w:rPr>
                <w:rFonts w:ascii="Times New Roman" w:hAnsi="Times New Roman"/>
              </w:rPr>
            </w:pPr>
            <w:r>
              <w:rPr>
                <w:rFonts w:ascii="Times New Roman" w:hAnsi="Times New Roman"/>
              </w:rPr>
              <w:t xml:space="preserve">*See </w:t>
            </w:r>
            <w:hyperlink r:id="rId12" w:history="1">
              <w:r w:rsidRPr="00E07042">
                <w:rPr>
                  <w:rStyle w:val="Hyperlink"/>
                  <w:rFonts w:ascii="Times New Roman" w:hAnsi="Times New Roman"/>
                </w:rPr>
                <w:t>www.ncrec.gov/Resources/LicenseLaw</w:t>
              </w:r>
            </w:hyperlink>
          </w:p>
          <w:p w:rsidR="00F20029" w:rsidRDefault="00F20029" w:rsidP="0073784C">
            <w:pPr>
              <w:rPr>
                <w:rFonts w:ascii="Times New Roman" w:hAnsi="Times New Roman"/>
              </w:rPr>
            </w:pPr>
            <w:r>
              <w:rPr>
                <w:rFonts w:ascii="Times New Roman" w:hAnsi="Times New Roman"/>
              </w:rPr>
              <w:t>(NOTE: This will not be updated in the next ninth edition printing)</w:t>
            </w:r>
          </w:p>
        </w:tc>
      </w:tr>
      <w:tr w:rsidR="0073784C" w:rsidRPr="001A2DEE" w:rsidTr="00754355">
        <w:trPr>
          <w:trHeight w:val="150"/>
          <w:jc w:val="center"/>
        </w:trPr>
        <w:tc>
          <w:tcPr>
            <w:tcW w:w="3445" w:type="dxa"/>
          </w:tcPr>
          <w:p w:rsidR="0073784C" w:rsidRDefault="0073784C" w:rsidP="0073784C">
            <w:pPr>
              <w:rPr>
                <w:rFonts w:ascii="Times New Roman" w:hAnsi="Times New Roman"/>
              </w:rPr>
            </w:pPr>
            <w:r>
              <w:rPr>
                <w:rFonts w:ascii="Times New Roman" w:hAnsi="Times New Roman"/>
              </w:rPr>
              <w:t>638-677, Appendix A</w:t>
            </w:r>
          </w:p>
        </w:tc>
        <w:tc>
          <w:tcPr>
            <w:tcW w:w="3283" w:type="dxa"/>
          </w:tcPr>
          <w:p w:rsidR="0073784C" w:rsidRDefault="0073784C" w:rsidP="00754355">
            <w:pPr>
              <w:rPr>
                <w:rFonts w:ascii="Times New Roman" w:hAnsi="Times New Roman"/>
              </w:rPr>
            </w:pPr>
            <w:r>
              <w:rPr>
                <w:rFonts w:ascii="Times New Roman" w:hAnsi="Times New Roman"/>
              </w:rPr>
              <w:t>Real Estate Licensing in North Carolina</w:t>
            </w:r>
          </w:p>
          <w:p w:rsidR="0073784C" w:rsidRDefault="0073784C" w:rsidP="00754355">
            <w:pPr>
              <w:rPr>
                <w:rFonts w:ascii="Times New Roman" w:hAnsi="Times New Roman"/>
              </w:rPr>
            </w:pPr>
            <w:r>
              <w:rPr>
                <w:rFonts w:ascii="Times New Roman" w:hAnsi="Times New Roman"/>
              </w:rPr>
              <w:t>Published by the North Carolina Real Estate Commission</w:t>
            </w:r>
          </w:p>
          <w:p w:rsidR="0073784C" w:rsidRPr="001A2DEE" w:rsidRDefault="0073784C" w:rsidP="00754355">
            <w:pPr>
              <w:rPr>
                <w:rFonts w:ascii="Times New Roman" w:hAnsi="Times New Roman"/>
              </w:rPr>
            </w:pPr>
            <w:r>
              <w:rPr>
                <w:rFonts w:ascii="Times New Roman" w:hAnsi="Times New Roman"/>
              </w:rPr>
              <w:t>May 2016</w:t>
            </w:r>
          </w:p>
        </w:tc>
        <w:tc>
          <w:tcPr>
            <w:tcW w:w="3363" w:type="dxa"/>
          </w:tcPr>
          <w:p w:rsidR="0073784C" w:rsidRDefault="0073784C" w:rsidP="0073784C">
            <w:pPr>
              <w:rPr>
                <w:rFonts w:ascii="Times New Roman" w:hAnsi="Times New Roman"/>
              </w:rPr>
            </w:pPr>
            <w:r>
              <w:rPr>
                <w:rFonts w:ascii="Times New Roman" w:hAnsi="Times New Roman"/>
              </w:rPr>
              <w:t>Real Estate Licensing in North Carolina</w:t>
            </w:r>
          </w:p>
          <w:p w:rsidR="0073784C" w:rsidRDefault="0073784C" w:rsidP="0073784C">
            <w:pPr>
              <w:rPr>
                <w:rFonts w:ascii="Times New Roman" w:hAnsi="Times New Roman"/>
              </w:rPr>
            </w:pPr>
            <w:r>
              <w:rPr>
                <w:rFonts w:ascii="Times New Roman" w:hAnsi="Times New Roman"/>
              </w:rPr>
              <w:t>Published by the North Carolina Real Estate Commission</w:t>
            </w:r>
          </w:p>
          <w:p w:rsidR="0073784C" w:rsidRDefault="00F20029" w:rsidP="0073784C">
            <w:pPr>
              <w:pStyle w:val="Pa168"/>
              <w:ind w:left="10" w:hanging="10"/>
              <w:rPr>
                <w:rFonts w:ascii="Times New Roman" w:hAnsi="Times New Roman"/>
              </w:rPr>
            </w:pPr>
            <w:r>
              <w:rPr>
                <w:rFonts w:ascii="Times New Roman" w:hAnsi="Times New Roman"/>
              </w:rPr>
              <w:t>July 2017</w:t>
            </w:r>
          </w:p>
          <w:p w:rsidR="00F20029" w:rsidRDefault="00F20029" w:rsidP="00F20029">
            <w:r>
              <w:t xml:space="preserve">*See </w:t>
            </w:r>
            <w:hyperlink r:id="rId13" w:history="1">
              <w:r w:rsidR="00491FD6" w:rsidRPr="00607DCE">
                <w:rPr>
                  <w:rStyle w:val="Hyperlink"/>
                </w:rPr>
                <w:t>www.ncrec.gov/Brochures/general.pdf</w:t>
              </w:r>
            </w:hyperlink>
          </w:p>
          <w:p w:rsidR="00F20029" w:rsidRPr="00F20029" w:rsidRDefault="00F20029" w:rsidP="00F20029">
            <w:r>
              <w:rPr>
                <w:rFonts w:ascii="Times New Roman" w:hAnsi="Times New Roman"/>
              </w:rPr>
              <w:lastRenderedPageBreak/>
              <w:t>(NOTE: This will not be updated in the next ninth edition printing)</w:t>
            </w:r>
          </w:p>
        </w:tc>
      </w:tr>
    </w:tbl>
    <w:p w:rsidR="00D859E3" w:rsidRDefault="00D859E3" w:rsidP="00472A2B">
      <w:pPr>
        <w:tabs>
          <w:tab w:val="left" w:pos="1800"/>
        </w:tabs>
        <w:autoSpaceDE w:val="0"/>
        <w:autoSpaceDN w:val="0"/>
        <w:adjustRightInd w:val="0"/>
        <w:rPr>
          <w:rFonts w:ascii="Times New Roman" w:hAnsi="Times New Roman"/>
        </w:rPr>
      </w:pPr>
    </w:p>
    <w:p w:rsidR="00D859E3" w:rsidRPr="00D859E3" w:rsidRDefault="00503D95" w:rsidP="00472A2B">
      <w:pPr>
        <w:tabs>
          <w:tab w:val="left" w:pos="1800"/>
        </w:tabs>
        <w:autoSpaceDE w:val="0"/>
        <w:autoSpaceDN w:val="0"/>
        <w:adjustRightInd w:val="0"/>
        <w:rPr>
          <w:rFonts w:ascii="Times New Roman" w:hAnsi="Times New Roman"/>
          <w:b/>
        </w:rPr>
      </w:pPr>
      <w:r>
        <w:rPr>
          <w:rFonts w:ascii="Times New Roman" w:hAnsi="Times New Roman"/>
          <w:b/>
        </w:rPr>
        <w:t>First</w:t>
      </w:r>
      <w:r w:rsidR="00D859E3" w:rsidRPr="00D859E3">
        <w:rPr>
          <w:rFonts w:ascii="Times New Roman" w:hAnsi="Times New Roman"/>
          <w:b/>
        </w:rPr>
        <w:t xml:space="preserve"> Revision</w:t>
      </w: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3206"/>
        <w:gridCol w:w="3284"/>
      </w:tblGrid>
      <w:tr w:rsidR="00D859E3" w:rsidRPr="00754355" w:rsidTr="004B05F2">
        <w:trPr>
          <w:trHeight w:val="701"/>
          <w:jc w:val="center"/>
        </w:trPr>
        <w:tc>
          <w:tcPr>
            <w:tcW w:w="3445" w:type="dxa"/>
            <w:shd w:val="clear" w:color="auto" w:fill="CCFFCC"/>
          </w:tcPr>
          <w:p w:rsidR="00D859E3" w:rsidRPr="001A2DEE" w:rsidRDefault="00D859E3" w:rsidP="004B05F2">
            <w:pPr>
              <w:pStyle w:val="Heading1"/>
              <w:jc w:val="center"/>
              <w:rPr>
                <w:rFonts w:ascii="Times New Roman" w:hAnsi="Times New Roman"/>
              </w:rPr>
            </w:pPr>
            <w:r w:rsidRPr="001A2DEE">
              <w:rPr>
                <w:rFonts w:ascii="Times New Roman" w:hAnsi="Times New Roman"/>
              </w:rPr>
              <w:t>Page/Location</w:t>
            </w:r>
          </w:p>
        </w:tc>
        <w:tc>
          <w:tcPr>
            <w:tcW w:w="3283" w:type="dxa"/>
            <w:shd w:val="clear" w:color="auto" w:fill="CCFFCC"/>
          </w:tcPr>
          <w:p w:rsidR="00D859E3" w:rsidRPr="00754355" w:rsidRDefault="00D859E3" w:rsidP="004B05F2">
            <w:pPr>
              <w:pStyle w:val="Heading2"/>
              <w:spacing w:before="0" w:after="0"/>
              <w:jc w:val="center"/>
              <w:rPr>
                <w:rFonts w:ascii="Times New Roman" w:hAnsi="Times New Roman"/>
                <w:i w:val="0"/>
                <w:sz w:val="24"/>
                <w:szCs w:val="24"/>
              </w:rPr>
            </w:pPr>
            <w:r w:rsidRPr="00754355">
              <w:rPr>
                <w:rFonts w:ascii="Times New Roman" w:hAnsi="Times New Roman"/>
                <w:i w:val="0"/>
                <w:sz w:val="24"/>
                <w:szCs w:val="24"/>
              </w:rPr>
              <w:t>Was</w:t>
            </w:r>
          </w:p>
        </w:tc>
        <w:tc>
          <w:tcPr>
            <w:tcW w:w="3363" w:type="dxa"/>
            <w:shd w:val="clear" w:color="auto" w:fill="CCFFCC"/>
          </w:tcPr>
          <w:p w:rsidR="00D859E3" w:rsidRPr="00754355" w:rsidRDefault="00D859E3" w:rsidP="004B05F2">
            <w:pPr>
              <w:pStyle w:val="Heading2"/>
              <w:spacing w:before="0" w:after="0"/>
              <w:jc w:val="center"/>
              <w:rPr>
                <w:rFonts w:ascii="Times New Roman" w:hAnsi="Times New Roman"/>
                <w:i w:val="0"/>
                <w:sz w:val="24"/>
                <w:szCs w:val="24"/>
              </w:rPr>
            </w:pPr>
            <w:r w:rsidRPr="00754355">
              <w:rPr>
                <w:rFonts w:ascii="Times New Roman" w:hAnsi="Times New Roman"/>
                <w:i w:val="0"/>
                <w:sz w:val="24"/>
                <w:szCs w:val="24"/>
              </w:rPr>
              <w:t>Change to</w:t>
            </w:r>
          </w:p>
        </w:tc>
        <w:bookmarkStart w:id="0" w:name="_GoBack"/>
        <w:bookmarkEnd w:id="0"/>
      </w:tr>
      <w:tr w:rsidR="00D859E3" w:rsidTr="004B05F2">
        <w:trPr>
          <w:trHeight w:val="150"/>
          <w:jc w:val="center"/>
        </w:trPr>
        <w:tc>
          <w:tcPr>
            <w:tcW w:w="3445" w:type="dxa"/>
          </w:tcPr>
          <w:p w:rsidR="00D859E3" w:rsidRDefault="00D859E3" w:rsidP="004B05F2">
            <w:pPr>
              <w:rPr>
                <w:rFonts w:ascii="Times New Roman" w:hAnsi="Times New Roman"/>
              </w:rPr>
            </w:pPr>
            <w:r>
              <w:rPr>
                <w:rFonts w:ascii="Times New Roman" w:hAnsi="Times New Roman"/>
              </w:rPr>
              <w:t>419, Mortgage Loan Repayment Plans—Balloon Payment Loan</w:t>
            </w:r>
          </w:p>
        </w:tc>
        <w:tc>
          <w:tcPr>
            <w:tcW w:w="3283" w:type="dxa"/>
          </w:tcPr>
          <w:p w:rsidR="00D859E3" w:rsidRPr="006A171E" w:rsidRDefault="00D859E3" w:rsidP="004B05F2">
            <w:pPr>
              <w:pStyle w:val="Pa168"/>
              <w:rPr>
                <w:rFonts w:ascii="Times New Roman" w:hAnsi="Times New Roman"/>
                <w:color w:val="221E1F"/>
              </w:rPr>
            </w:pPr>
            <w:r w:rsidRPr="00144B36">
              <w:rPr>
                <w:rFonts w:ascii="Times New Roman" w:hAnsi="Times New Roman"/>
                <w:color w:val="221E1F"/>
              </w:rPr>
              <w:t xml:space="preserve">A loan for $80,000 at 10% interest </w:t>
            </w:r>
            <w:proofErr w:type="gramStart"/>
            <w:r w:rsidRPr="00144B36">
              <w:rPr>
                <w:rFonts w:ascii="Times New Roman" w:hAnsi="Times New Roman"/>
                <w:color w:val="221E1F"/>
              </w:rPr>
              <w:t>may be com</w:t>
            </w:r>
            <w:r>
              <w:rPr>
                <w:rFonts w:ascii="Times New Roman" w:hAnsi="Times New Roman"/>
                <w:color w:val="221E1F"/>
              </w:rPr>
              <w:t xml:space="preserve">puted on a 30-year amortization </w:t>
            </w:r>
            <w:r w:rsidRPr="00144B36">
              <w:rPr>
                <w:rFonts w:ascii="Times New Roman" w:hAnsi="Times New Roman"/>
                <w:color w:val="221E1F"/>
              </w:rPr>
              <w:t>schedule but paid over a 20-year term, with a final balloon payment due at the</w:t>
            </w:r>
            <w:r>
              <w:rPr>
                <w:rFonts w:ascii="Times New Roman" w:hAnsi="Times New Roman"/>
                <w:color w:val="221E1F"/>
              </w:rPr>
              <w:t xml:space="preserve"> </w:t>
            </w:r>
            <w:r w:rsidRPr="00144B36">
              <w:rPr>
                <w:rFonts w:ascii="Times New Roman" w:hAnsi="Times New Roman"/>
                <w:color w:val="221E1F"/>
              </w:rPr>
              <w:t>end of the 20th year</w:t>
            </w:r>
            <w:proofErr w:type="gramEnd"/>
            <w:r w:rsidRPr="00144B36">
              <w:rPr>
                <w:rFonts w:ascii="Times New Roman" w:hAnsi="Times New Roman"/>
                <w:color w:val="221E1F"/>
              </w:rPr>
              <w:t>.</w:t>
            </w:r>
          </w:p>
        </w:tc>
        <w:tc>
          <w:tcPr>
            <w:tcW w:w="3363" w:type="dxa"/>
          </w:tcPr>
          <w:p w:rsidR="00D859E3" w:rsidRDefault="00D859E3" w:rsidP="004B05F2">
            <w:pPr>
              <w:pStyle w:val="Pa168"/>
              <w:rPr>
                <w:rFonts w:ascii="Times New Roman" w:hAnsi="Times New Roman"/>
                <w:color w:val="221E1F"/>
              </w:rPr>
            </w:pPr>
            <w:r>
              <w:rPr>
                <w:rFonts w:ascii="Times New Roman" w:hAnsi="Times New Roman"/>
                <w:color w:val="221E1F"/>
              </w:rPr>
              <w:t>A loan for $80,000 at 11.5</w:t>
            </w:r>
            <w:r w:rsidRPr="00144B36">
              <w:rPr>
                <w:rFonts w:ascii="Times New Roman" w:hAnsi="Times New Roman"/>
                <w:color w:val="221E1F"/>
              </w:rPr>
              <w:t xml:space="preserve">% interest </w:t>
            </w:r>
            <w:proofErr w:type="gramStart"/>
            <w:r w:rsidRPr="00144B36">
              <w:rPr>
                <w:rFonts w:ascii="Times New Roman" w:hAnsi="Times New Roman"/>
                <w:color w:val="221E1F"/>
              </w:rPr>
              <w:t>may be com</w:t>
            </w:r>
            <w:r>
              <w:rPr>
                <w:rFonts w:ascii="Times New Roman" w:hAnsi="Times New Roman"/>
                <w:color w:val="221E1F"/>
              </w:rPr>
              <w:t xml:space="preserve">puted on a 30-year amortization </w:t>
            </w:r>
            <w:r w:rsidRPr="00144B36">
              <w:rPr>
                <w:rFonts w:ascii="Times New Roman" w:hAnsi="Times New Roman"/>
                <w:color w:val="221E1F"/>
              </w:rPr>
              <w:t>schedule but paid over a 20-year term, with a final balloon payment due at the</w:t>
            </w:r>
            <w:r>
              <w:rPr>
                <w:rFonts w:ascii="Times New Roman" w:hAnsi="Times New Roman"/>
                <w:color w:val="221E1F"/>
              </w:rPr>
              <w:t xml:space="preserve"> </w:t>
            </w:r>
            <w:r w:rsidRPr="00144B36">
              <w:rPr>
                <w:rFonts w:ascii="Times New Roman" w:hAnsi="Times New Roman"/>
                <w:color w:val="221E1F"/>
              </w:rPr>
              <w:t>end of the 20th year</w:t>
            </w:r>
            <w:proofErr w:type="gramEnd"/>
            <w:r w:rsidRPr="00144B36">
              <w:rPr>
                <w:rFonts w:ascii="Times New Roman" w:hAnsi="Times New Roman"/>
                <w:color w:val="221E1F"/>
              </w:rPr>
              <w:t>.</w:t>
            </w:r>
          </w:p>
        </w:tc>
      </w:tr>
      <w:tr w:rsidR="003A5563" w:rsidTr="004B05F2">
        <w:trPr>
          <w:trHeight w:val="150"/>
          <w:jc w:val="center"/>
        </w:trPr>
        <w:tc>
          <w:tcPr>
            <w:tcW w:w="3445" w:type="dxa"/>
          </w:tcPr>
          <w:p w:rsidR="003A5563" w:rsidRDefault="003A5563" w:rsidP="004B05F2">
            <w:pPr>
              <w:rPr>
                <w:rFonts w:ascii="Times New Roman" w:hAnsi="Times New Roman"/>
              </w:rPr>
            </w:pPr>
            <w:r>
              <w:rPr>
                <w:rFonts w:ascii="Times New Roman" w:hAnsi="Times New Roman"/>
              </w:rPr>
              <w:t>426, The Federal Reserve System</w:t>
            </w:r>
          </w:p>
        </w:tc>
        <w:tc>
          <w:tcPr>
            <w:tcW w:w="3283" w:type="dxa"/>
          </w:tcPr>
          <w:p w:rsidR="003A5563" w:rsidRPr="00D859E3" w:rsidRDefault="003A5563" w:rsidP="00D859E3">
            <w:pPr>
              <w:pStyle w:val="Pa168"/>
              <w:rPr>
                <w:rFonts w:ascii="Times New Roman" w:hAnsi="Times New Roman"/>
                <w:color w:val="221E1F"/>
              </w:rPr>
            </w:pPr>
          </w:p>
        </w:tc>
        <w:tc>
          <w:tcPr>
            <w:tcW w:w="3363" w:type="dxa"/>
          </w:tcPr>
          <w:p w:rsidR="003A5563" w:rsidRDefault="003A5563" w:rsidP="004B05F2">
            <w:pPr>
              <w:pStyle w:val="Pa168"/>
              <w:rPr>
                <w:rFonts w:ascii="Times New Roman" w:hAnsi="Times New Roman"/>
                <w:color w:val="221E1F"/>
              </w:rPr>
            </w:pPr>
            <w:r>
              <w:rPr>
                <w:rFonts w:ascii="Times New Roman" w:hAnsi="Times New Roman"/>
                <w:color w:val="221E1F"/>
              </w:rPr>
              <w:t>(Add to the end of the first paragraph)</w:t>
            </w:r>
          </w:p>
          <w:p w:rsidR="003A5563" w:rsidRPr="00D859E3" w:rsidRDefault="003A5563" w:rsidP="004B05F2">
            <w:pPr>
              <w:pStyle w:val="Pa168"/>
              <w:rPr>
                <w:rFonts w:ascii="Times New Roman" w:hAnsi="Times New Roman"/>
                <w:color w:val="221E1F"/>
              </w:rPr>
            </w:pPr>
            <w:r w:rsidRPr="003A5563">
              <w:rPr>
                <w:rFonts w:ascii="Times New Roman" w:hAnsi="Times New Roman"/>
                <w:color w:val="221E1F"/>
              </w:rPr>
              <w:t>Qualified state-chartered banks may also join the Fed.</w:t>
            </w:r>
          </w:p>
        </w:tc>
      </w:tr>
      <w:tr w:rsidR="003A5563" w:rsidTr="004B05F2">
        <w:trPr>
          <w:trHeight w:val="150"/>
          <w:jc w:val="center"/>
        </w:trPr>
        <w:tc>
          <w:tcPr>
            <w:tcW w:w="3445" w:type="dxa"/>
          </w:tcPr>
          <w:p w:rsidR="003A5563" w:rsidRDefault="003A5563" w:rsidP="004B05F2">
            <w:pPr>
              <w:rPr>
                <w:rFonts w:ascii="Times New Roman" w:hAnsi="Times New Roman"/>
              </w:rPr>
            </w:pPr>
            <w:r>
              <w:rPr>
                <w:rFonts w:ascii="Times New Roman" w:hAnsi="Times New Roman"/>
              </w:rPr>
              <w:t>427, Open Market Condition</w:t>
            </w:r>
          </w:p>
        </w:tc>
        <w:tc>
          <w:tcPr>
            <w:tcW w:w="3283" w:type="dxa"/>
          </w:tcPr>
          <w:p w:rsidR="003A5563" w:rsidRPr="00D859E3" w:rsidRDefault="003A5563" w:rsidP="003A5563">
            <w:pPr>
              <w:pStyle w:val="Pa168"/>
              <w:rPr>
                <w:rFonts w:ascii="Times New Roman" w:hAnsi="Times New Roman"/>
                <w:color w:val="221E1F"/>
              </w:rPr>
            </w:pPr>
            <w:r w:rsidRPr="003A5563">
              <w:rPr>
                <w:rFonts w:ascii="Times New Roman" w:hAnsi="Times New Roman"/>
                <w:color w:val="221E1F"/>
              </w:rPr>
              <w:t>The Fed regulates the flow of money and interest r</w:t>
            </w:r>
            <w:r>
              <w:rPr>
                <w:rFonts w:ascii="Times New Roman" w:hAnsi="Times New Roman"/>
                <w:color w:val="221E1F"/>
              </w:rPr>
              <w:t xml:space="preserve">ates in the marketplace through </w:t>
            </w:r>
            <w:r w:rsidRPr="003A5563">
              <w:rPr>
                <w:rFonts w:ascii="Times New Roman" w:hAnsi="Times New Roman"/>
                <w:color w:val="221E1F"/>
              </w:rPr>
              <w:t>its member banks by controlling their reserve requirements and discount rates.</w:t>
            </w:r>
          </w:p>
        </w:tc>
        <w:tc>
          <w:tcPr>
            <w:tcW w:w="3363" w:type="dxa"/>
          </w:tcPr>
          <w:p w:rsidR="003A5563" w:rsidRPr="00D859E3" w:rsidRDefault="003A5563" w:rsidP="004B05F2">
            <w:pPr>
              <w:pStyle w:val="Pa168"/>
              <w:rPr>
                <w:rFonts w:ascii="Times New Roman" w:hAnsi="Times New Roman"/>
                <w:color w:val="221E1F"/>
              </w:rPr>
            </w:pPr>
            <w:r w:rsidRPr="003A5563">
              <w:rPr>
                <w:rFonts w:ascii="Times New Roman" w:hAnsi="Times New Roman"/>
                <w:color w:val="221E1F"/>
              </w:rPr>
              <w:t>The Fed regulates the flow of money and interest r</w:t>
            </w:r>
            <w:r>
              <w:rPr>
                <w:rFonts w:ascii="Times New Roman" w:hAnsi="Times New Roman"/>
                <w:color w:val="221E1F"/>
              </w:rPr>
              <w:t xml:space="preserve">ates in the marketplace through </w:t>
            </w:r>
            <w:r w:rsidRPr="003A5563">
              <w:rPr>
                <w:rFonts w:ascii="Times New Roman" w:hAnsi="Times New Roman"/>
                <w:color w:val="221E1F"/>
              </w:rPr>
              <w:t>its member banks (and other depository institutions)</w:t>
            </w:r>
            <w:r>
              <w:rPr>
                <w:rFonts w:ascii="Times New Roman" w:hAnsi="Times New Roman"/>
                <w:color w:val="221E1F"/>
              </w:rPr>
              <w:t xml:space="preserve"> </w:t>
            </w:r>
            <w:r w:rsidRPr="003A5563">
              <w:rPr>
                <w:rFonts w:ascii="Times New Roman" w:hAnsi="Times New Roman"/>
                <w:color w:val="221E1F"/>
              </w:rPr>
              <w:t>by controlling their reserve requirements and discount rates.</w:t>
            </w:r>
          </w:p>
        </w:tc>
      </w:tr>
      <w:tr w:rsidR="00D859E3" w:rsidTr="004B05F2">
        <w:trPr>
          <w:trHeight w:val="150"/>
          <w:jc w:val="center"/>
        </w:trPr>
        <w:tc>
          <w:tcPr>
            <w:tcW w:w="3445" w:type="dxa"/>
          </w:tcPr>
          <w:p w:rsidR="00D859E3" w:rsidRDefault="00D859E3" w:rsidP="004B05F2">
            <w:pPr>
              <w:rPr>
                <w:rFonts w:ascii="Times New Roman" w:hAnsi="Times New Roman"/>
              </w:rPr>
            </w:pPr>
            <w:r>
              <w:rPr>
                <w:rFonts w:ascii="Times New Roman" w:hAnsi="Times New Roman"/>
              </w:rPr>
              <w:t>537, question 17</w:t>
            </w:r>
          </w:p>
        </w:tc>
        <w:tc>
          <w:tcPr>
            <w:tcW w:w="3283" w:type="dxa"/>
          </w:tcPr>
          <w:p w:rsidR="00D859E3" w:rsidRPr="00144B36" w:rsidRDefault="00D859E3" w:rsidP="00D859E3">
            <w:pPr>
              <w:pStyle w:val="Pa168"/>
              <w:rPr>
                <w:rFonts w:ascii="Times New Roman" w:hAnsi="Times New Roman"/>
                <w:color w:val="221E1F"/>
              </w:rPr>
            </w:pPr>
            <w:proofErr w:type="gramStart"/>
            <w:r w:rsidRPr="00D859E3">
              <w:rPr>
                <w:rFonts w:ascii="Times New Roman" w:hAnsi="Times New Roman"/>
                <w:color w:val="221E1F"/>
              </w:rPr>
              <w:t>c</w:t>
            </w:r>
            <w:proofErr w:type="gramEnd"/>
            <w:r w:rsidRPr="00D859E3">
              <w:rPr>
                <w:rFonts w:ascii="Times New Roman" w:hAnsi="Times New Roman"/>
                <w:color w:val="221E1F"/>
              </w:rPr>
              <w:t>. intentional</w:t>
            </w:r>
            <w:r>
              <w:rPr>
                <w:rFonts w:ascii="Times New Roman" w:hAnsi="Times New Roman"/>
                <w:color w:val="221E1F"/>
              </w:rPr>
              <w:t xml:space="preserve"> neglect of a broker to show an </w:t>
            </w:r>
            <w:r w:rsidRPr="00D859E3">
              <w:rPr>
                <w:rFonts w:ascii="Times New Roman" w:hAnsi="Times New Roman"/>
                <w:color w:val="221E1F"/>
              </w:rPr>
              <w:t>family from a particular race property listings</w:t>
            </w:r>
            <w:r>
              <w:rPr>
                <w:rFonts w:ascii="Times New Roman" w:hAnsi="Times New Roman"/>
                <w:color w:val="221E1F"/>
              </w:rPr>
              <w:t xml:space="preserve"> </w:t>
            </w:r>
            <w:r w:rsidRPr="00D859E3">
              <w:rPr>
                <w:rFonts w:ascii="Times New Roman" w:hAnsi="Times New Roman"/>
                <w:color w:val="221E1F"/>
              </w:rPr>
              <w:t>in all-white neighborhoods.</w:t>
            </w:r>
          </w:p>
        </w:tc>
        <w:tc>
          <w:tcPr>
            <w:tcW w:w="3363" w:type="dxa"/>
          </w:tcPr>
          <w:p w:rsidR="00D859E3" w:rsidRDefault="00D859E3" w:rsidP="004B05F2">
            <w:pPr>
              <w:pStyle w:val="Pa168"/>
              <w:rPr>
                <w:rFonts w:ascii="Times New Roman" w:hAnsi="Times New Roman"/>
                <w:color w:val="221E1F"/>
              </w:rPr>
            </w:pPr>
            <w:proofErr w:type="gramStart"/>
            <w:r w:rsidRPr="00D859E3">
              <w:rPr>
                <w:rFonts w:ascii="Times New Roman" w:hAnsi="Times New Roman"/>
                <w:color w:val="221E1F"/>
              </w:rPr>
              <w:t>c</w:t>
            </w:r>
            <w:proofErr w:type="gramEnd"/>
            <w:r w:rsidRPr="00D859E3">
              <w:rPr>
                <w:rFonts w:ascii="Times New Roman" w:hAnsi="Times New Roman"/>
                <w:color w:val="221E1F"/>
              </w:rPr>
              <w:t>. intentional</w:t>
            </w:r>
            <w:r>
              <w:rPr>
                <w:rFonts w:ascii="Times New Roman" w:hAnsi="Times New Roman"/>
                <w:color w:val="221E1F"/>
              </w:rPr>
              <w:t xml:space="preserve"> neglect of a broker to show a </w:t>
            </w:r>
            <w:r w:rsidRPr="00D859E3">
              <w:rPr>
                <w:rFonts w:ascii="Times New Roman" w:hAnsi="Times New Roman"/>
                <w:color w:val="221E1F"/>
              </w:rPr>
              <w:t>family from a particular race property listings</w:t>
            </w:r>
            <w:r>
              <w:rPr>
                <w:rFonts w:ascii="Times New Roman" w:hAnsi="Times New Roman"/>
                <w:color w:val="221E1F"/>
              </w:rPr>
              <w:t xml:space="preserve"> </w:t>
            </w:r>
            <w:r w:rsidRPr="00D859E3">
              <w:rPr>
                <w:rFonts w:ascii="Times New Roman" w:hAnsi="Times New Roman"/>
                <w:color w:val="221E1F"/>
              </w:rPr>
              <w:t>in all-white neighborhoods.</w:t>
            </w:r>
          </w:p>
        </w:tc>
      </w:tr>
      <w:tr w:rsidR="00D859E3" w:rsidTr="004B05F2">
        <w:trPr>
          <w:trHeight w:val="150"/>
          <w:jc w:val="center"/>
        </w:trPr>
        <w:tc>
          <w:tcPr>
            <w:tcW w:w="3445" w:type="dxa"/>
          </w:tcPr>
          <w:p w:rsidR="00D859E3" w:rsidRDefault="00D859E3" w:rsidP="004B05F2">
            <w:pPr>
              <w:rPr>
                <w:rFonts w:ascii="Times New Roman" w:hAnsi="Times New Roman"/>
              </w:rPr>
            </w:pPr>
          </w:p>
        </w:tc>
        <w:tc>
          <w:tcPr>
            <w:tcW w:w="3283" w:type="dxa"/>
          </w:tcPr>
          <w:p w:rsidR="00D859E3" w:rsidRPr="00144B36" w:rsidRDefault="00D859E3" w:rsidP="004B05F2">
            <w:pPr>
              <w:pStyle w:val="Pa168"/>
              <w:rPr>
                <w:rFonts w:ascii="Times New Roman" w:hAnsi="Times New Roman"/>
                <w:color w:val="221E1F"/>
              </w:rPr>
            </w:pPr>
          </w:p>
        </w:tc>
        <w:tc>
          <w:tcPr>
            <w:tcW w:w="3363" w:type="dxa"/>
          </w:tcPr>
          <w:p w:rsidR="00D859E3" w:rsidRDefault="00D859E3" w:rsidP="004B05F2">
            <w:pPr>
              <w:pStyle w:val="Pa168"/>
              <w:rPr>
                <w:rFonts w:ascii="Times New Roman" w:hAnsi="Times New Roman"/>
                <w:color w:val="221E1F"/>
              </w:rPr>
            </w:pPr>
          </w:p>
        </w:tc>
      </w:tr>
    </w:tbl>
    <w:p w:rsidR="00D859E3" w:rsidRPr="001A2DEE" w:rsidRDefault="00D859E3" w:rsidP="00472A2B">
      <w:pPr>
        <w:tabs>
          <w:tab w:val="left" w:pos="1800"/>
        </w:tabs>
        <w:autoSpaceDE w:val="0"/>
        <w:autoSpaceDN w:val="0"/>
        <w:adjustRightInd w:val="0"/>
        <w:rPr>
          <w:rFonts w:ascii="Times New Roman" w:hAnsi="Times New Roman"/>
        </w:rPr>
      </w:pPr>
    </w:p>
    <w:sectPr w:rsidR="00D859E3" w:rsidRPr="001A2DEE" w:rsidSect="00A54C6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9F" w:rsidRDefault="00377A9F">
      <w:r>
        <w:separator/>
      </w:r>
    </w:p>
  </w:endnote>
  <w:endnote w:type="continuationSeparator" w:id="0">
    <w:p w:rsidR="00377A9F" w:rsidRDefault="0037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Goudy Oldstyle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0D" w:rsidRDefault="00F26E0D"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E0D" w:rsidRDefault="00F26E0D"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2B" w:rsidRDefault="00472A2B" w:rsidP="00472A2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Pr>
        <w:rFonts w:ascii="Arial" w:hAnsi="Arial" w:cs="Arial"/>
        <w:sz w:val="20"/>
        <w:szCs w:val="20"/>
      </w:rPr>
      <w:t>7</w:t>
    </w:r>
    <w:r w:rsidRPr="00D25C2E">
      <w:rPr>
        <w:rFonts w:ascii="Arial" w:hAnsi="Arial" w:cs="Arial"/>
        <w:sz w:val="20"/>
        <w:szCs w:val="20"/>
      </w:rPr>
      <w:t xml:space="preserve"> Kaplan, Inc.</w:t>
    </w:r>
  </w:p>
  <w:p w:rsidR="00472A2B" w:rsidRPr="002626C4" w:rsidRDefault="00472A2B" w:rsidP="00472A2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p w:rsidR="00472A2B" w:rsidRPr="00472A2B" w:rsidRDefault="00472A2B" w:rsidP="00472A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9F" w:rsidRDefault="00377A9F">
      <w:r>
        <w:separator/>
      </w:r>
    </w:p>
  </w:footnote>
  <w:footnote w:type="continuationSeparator" w:id="0">
    <w:p w:rsidR="00377A9F" w:rsidRDefault="0037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0D" w:rsidRPr="0094174A" w:rsidRDefault="00F26E0D" w:rsidP="0094174A">
    <w:pPr>
      <w:pStyle w:val="Header"/>
      <w:jc w:val="right"/>
      <w:rPr>
        <w:rFonts w:ascii="Arial" w:hAnsi="Arial" w:cs="Arial"/>
        <w:i/>
        <w:sz w:val="20"/>
        <w:szCs w:val="20"/>
      </w:rPr>
    </w:pPr>
    <w:r>
      <w:rPr>
        <w:rFonts w:ascii="Arial" w:hAnsi="Arial" w:cs="Arial"/>
        <w:i/>
        <w:sz w:val="20"/>
        <w:szCs w:val="20"/>
      </w:rPr>
      <w:t>Modern Real Estate</w:t>
    </w:r>
    <w:r w:rsidR="00472A2B">
      <w:rPr>
        <w:rFonts w:ascii="Arial" w:hAnsi="Arial" w:cs="Arial"/>
        <w:i/>
        <w:sz w:val="20"/>
        <w:szCs w:val="20"/>
      </w:rPr>
      <w:t xml:space="preserve"> Practice in North Carolina Nin</w:t>
    </w:r>
    <w:r>
      <w:rPr>
        <w:rFonts w:ascii="Arial" w:hAnsi="Arial" w:cs="Arial"/>
        <w:i/>
        <w:sz w:val="20"/>
        <w:szCs w:val="20"/>
      </w:rPr>
      <w:t>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300E8"/>
    <w:rsid w:val="00097E04"/>
    <w:rsid w:val="000D144B"/>
    <w:rsid w:val="000E25A7"/>
    <w:rsid w:val="001159C0"/>
    <w:rsid w:val="001410CE"/>
    <w:rsid w:val="00173F59"/>
    <w:rsid w:val="00180B41"/>
    <w:rsid w:val="00181466"/>
    <w:rsid w:val="00183E77"/>
    <w:rsid w:val="001A2DEE"/>
    <w:rsid w:val="001A6032"/>
    <w:rsid w:val="001B1E7E"/>
    <w:rsid w:val="001B6919"/>
    <w:rsid w:val="001E4CF5"/>
    <w:rsid w:val="00262668"/>
    <w:rsid w:val="002B00B8"/>
    <w:rsid w:val="003214F7"/>
    <w:rsid w:val="003320F4"/>
    <w:rsid w:val="00363AEA"/>
    <w:rsid w:val="00377A9F"/>
    <w:rsid w:val="003A5563"/>
    <w:rsid w:val="003D4AB7"/>
    <w:rsid w:val="003F134C"/>
    <w:rsid w:val="00472A2B"/>
    <w:rsid w:val="00491FD6"/>
    <w:rsid w:val="004A05EC"/>
    <w:rsid w:val="004E76A7"/>
    <w:rsid w:val="00503D95"/>
    <w:rsid w:val="0057421F"/>
    <w:rsid w:val="005B5AB5"/>
    <w:rsid w:val="006217A0"/>
    <w:rsid w:val="00640E99"/>
    <w:rsid w:val="0068025B"/>
    <w:rsid w:val="006A171E"/>
    <w:rsid w:val="00710CFF"/>
    <w:rsid w:val="007214B0"/>
    <w:rsid w:val="00722C7B"/>
    <w:rsid w:val="0073784C"/>
    <w:rsid w:val="00754355"/>
    <w:rsid w:val="007C0232"/>
    <w:rsid w:val="00927FB5"/>
    <w:rsid w:val="0094174A"/>
    <w:rsid w:val="00944660"/>
    <w:rsid w:val="00966E1C"/>
    <w:rsid w:val="00A129DE"/>
    <w:rsid w:val="00A254F5"/>
    <w:rsid w:val="00A54C6C"/>
    <w:rsid w:val="00AB5671"/>
    <w:rsid w:val="00AE49EC"/>
    <w:rsid w:val="00AF33C8"/>
    <w:rsid w:val="00B261C9"/>
    <w:rsid w:val="00B4617B"/>
    <w:rsid w:val="00B755DA"/>
    <w:rsid w:val="00B802D3"/>
    <w:rsid w:val="00BB7573"/>
    <w:rsid w:val="00BE07A6"/>
    <w:rsid w:val="00CA5D14"/>
    <w:rsid w:val="00D15438"/>
    <w:rsid w:val="00D30B08"/>
    <w:rsid w:val="00D435AF"/>
    <w:rsid w:val="00D859E3"/>
    <w:rsid w:val="00DE2E72"/>
    <w:rsid w:val="00E11FBA"/>
    <w:rsid w:val="00EB3D14"/>
    <w:rsid w:val="00F20029"/>
    <w:rsid w:val="00F26E0D"/>
    <w:rsid w:val="00F42461"/>
    <w:rsid w:val="00F62BA8"/>
    <w:rsid w:val="00F7081F"/>
    <w:rsid w:val="00F918A9"/>
    <w:rsid w:val="00FC5BC4"/>
    <w:rsid w:val="00FD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E9D11"/>
  <w15:docId w15:val="{206D1CC0-7902-4A75-9866-9A4150F7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semiHidden/>
    <w:unhideWhenUsed/>
    <w:qFormat/>
    <w:rsid w:val="001A2DE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9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1A2DEE"/>
    <w:rPr>
      <w:rFonts w:ascii="Cambria" w:hAnsi="Cambria" w:cs="Times New Roman"/>
      <w:b/>
      <w:bCs/>
      <w:i/>
      <w:iCs/>
      <w:sz w:val="28"/>
      <w:szCs w:val="28"/>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sid w:val="00CB79B7"/>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CB79B7"/>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B79B7"/>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 w:type="paragraph" w:customStyle="1" w:styleId="Pa168">
    <w:name w:val="Pa168"/>
    <w:basedOn w:val="Normal"/>
    <w:next w:val="Normal"/>
    <w:uiPriority w:val="99"/>
    <w:rsid w:val="001A2DEE"/>
    <w:pPr>
      <w:autoSpaceDE w:val="0"/>
      <w:autoSpaceDN w:val="0"/>
      <w:adjustRightInd w:val="0"/>
      <w:spacing w:line="221" w:lineRule="atLeast"/>
    </w:pPr>
    <w:rPr>
      <w:rFonts w:ascii="Goudy Oldstyle Std" w:hAnsi="Goudy Oldstyle Std"/>
    </w:rPr>
  </w:style>
  <w:style w:type="character" w:customStyle="1" w:styleId="A11">
    <w:name w:val="A11"/>
    <w:uiPriority w:val="99"/>
    <w:rsid w:val="001A2DEE"/>
    <w:rPr>
      <w:color w:val="221E1F"/>
      <w:sz w:val="22"/>
    </w:rPr>
  </w:style>
  <w:style w:type="character" w:styleId="Hyperlink">
    <w:name w:val="Hyperlink"/>
    <w:basedOn w:val="DefaultParagraphFont"/>
    <w:unhideWhenUsed/>
    <w:rsid w:val="00F20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1304">
      <w:marLeft w:val="0"/>
      <w:marRight w:val="0"/>
      <w:marTop w:val="0"/>
      <w:marBottom w:val="0"/>
      <w:divBdr>
        <w:top w:val="none" w:sz="0" w:space="0" w:color="auto"/>
        <w:left w:val="none" w:sz="0" w:space="0" w:color="auto"/>
        <w:bottom w:val="none" w:sz="0" w:space="0" w:color="auto"/>
        <w:right w:val="none" w:sz="0" w:space="0" w:color="auto"/>
      </w:divBdr>
    </w:div>
    <w:div w:id="1092051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rec.gov/Brochures/gener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rec.gov/Resources/LicenseLa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D8B9-8114-48AC-A39A-A05C2513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935</Words>
  <Characters>4635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Rosita Hernandez</dc:creator>
  <cp:lastModifiedBy>Julia Marti</cp:lastModifiedBy>
  <cp:revision>3</cp:revision>
  <cp:lastPrinted>2006-08-18T15:15:00Z</cp:lastPrinted>
  <dcterms:created xsi:type="dcterms:W3CDTF">2018-08-21T03:05:00Z</dcterms:created>
  <dcterms:modified xsi:type="dcterms:W3CDTF">2018-11-30T15:05:00Z</dcterms:modified>
</cp:coreProperties>
</file>